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BD3" w:rsidRPr="00023562" w:rsidRDefault="005C0BD3" w:rsidP="005C0BD3">
      <w:pPr>
        <w:jc w:val="left"/>
        <w:rPr>
          <w:sz w:val="32"/>
          <w:szCs w:val="32"/>
        </w:rPr>
      </w:pPr>
      <w:bookmarkStart w:id="0" w:name="_GoBack"/>
      <w:bookmarkEnd w:id="0"/>
    </w:p>
    <w:p w:rsidR="005C0BD3" w:rsidRPr="00023562" w:rsidRDefault="005C0BD3" w:rsidP="005C0BD3">
      <w:pPr>
        <w:jc w:val="left"/>
        <w:rPr>
          <w:sz w:val="32"/>
          <w:szCs w:val="32"/>
        </w:rPr>
      </w:pPr>
    </w:p>
    <w:p w:rsidR="005C0BD3" w:rsidRPr="00023562" w:rsidRDefault="005C0BD3" w:rsidP="005C0BD3">
      <w:pPr>
        <w:jc w:val="left"/>
        <w:rPr>
          <w:sz w:val="32"/>
          <w:szCs w:val="32"/>
        </w:rPr>
      </w:pPr>
    </w:p>
    <w:p w:rsidR="005C0BD3" w:rsidRDefault="005C0BD3" w:rsidP="005C0BD3">
      <w:pPr>
        <w:jc w:val="left"/>
        <w:rPr>
          <w:sz w:val="32"/>
          <w:szCs w:val="32"/>
        </w:rPr>
      </w:pPr>
    </w:p>
    <w:p w:rsidR="005C0BD3" w:rsidRDefault="005C0BD3" w:rsidP="005C0BD3">
      <w:pPr>
        <w:jc w:val="left"/>
        <w:rPr>
          <w:sz w:val="32"/>
          <w:szCs w:val="32"/>
        </w:rPr>
      </w:pPr>
    </w:p>
    <w:p w:rsidR="005C0BD3" w:rsidRDefault="005C0BD3" w:rsidP="005C0BD3">
      <w:pPr>
        <w:jc w:val="left"/>
        <w:rPr>
          <w:sz w:val="32"/>
          <w:szCs w:val="32"/>
        </w:rPr>
      </w:pPr>
    </w:p>
    <w:p w:rsidR="00180DB2" w:rsidRDefault="00180DB2" w:rsidP="00180DB2">
      <w:pPr>
        <w:jc w:val="center"/>
        <w:rPr>
          <w:b/>
          <w:sz w:val="32"/>
          <w:szCs w:val="32"/>
        </w:rPr>
      </w:pPr>
      <w:r w:rsidRPr="00180DB2">
        <w:rPr>
          <w:b/>
          <w:sz w:val="32"/>
          <w:szCs w:val="32"/>
        </w:rPr>
        <w:t>V.</w:t>
      </w:r>
    </w:p>
    <w:p w:rsidR="00180DB2" w:rsidRDefault="00180DB2" w:rsidP="00180DB2">
      <w:pPr>
        <w:jc w:val="center"/>
        <w:rPr>
          <w:b/>
          <w:sz w:val="32"/>
          <w:szCs w:val="32"/>
        </w:rPr>
      </w:pPr>
    </w:p>
    <w:p w:rsidR="007667B4" w:rsidRPr="00180DB2" w:rsidRDefault="007667B4" w:rsidP="00180DB2">
      <w:pPr>
        <w:jc w:val="center"/>
        <w:rPr>
          <w:b/>
          <w:sz w:val="32"/>
          <w:szCs w:val="32"/>
        </w:rPr>
      </w:pPr>
    </w:p>
    <w:p w:rsidR="005C0BD3" w:rsidRPr="00180DB2" w:rsidRDefault="00180DB2" w:rsidP="00180DB2">
      <w:pPr>
        <w:jc w:val="center"/>
        <w:rPr>
          <w:b/>
          <w:sz w:val="36"/>
          <w:szCs w:val="36"/>
        </w:rPr>
      </w:pPr>
      <w:r w:rsidRPr="00180DB2">
        <w:rPr>
          <w:b/>
          <w:sz w:val="36"/>
          <w:szCs w:val="36"/>
        </w:rPr>
        <w:t>Příloha č. 2</w:t>
      </w:r>
    </w:p>
    <w:sdt>
      <w:sdtPr>
        <w:rPr>
          <w:b/>
          <w:sz w:val="36"/>
          <w:szCs w:val="36"/>
        </w:rPr>
        <w:alias w:val="Title"/>
        <w:tag w:val=""/>
        <w:id w:val="-42596027"/>
        <w:placeholder>
          <w:docPart w:val="3250637AE4F4432FBAB7E4236CCDCE18"/>
        </w:placeholder>
        <w:dataBinding w:prefixMappings="xmlns:ns0='http://purl.org/dc/elements/1.1/' xmlns:ns1='http://schemas.openxmlformats.org/package/2006/metadata/core-properties' " w:xpath="/ns1:coreProperties[1]/ns0:title[1]" w:storeItemID="{6C3C8BC8-F283-45AE-878A-BAB7291924A1}"/>
        <w:text/>
      </w:sdtPr>
      <w:sdtEndPr/>
      <w:sdtContent>
        <w:p w:rsidR="005C0BD3" w:rsidRPr="00023562" w:rsidRDefault="005C0BD3" w:rsidP="005C0BD3">
          <w:pPr>
            <w:jc w:val="center"/>
            <w:rPr>
              <w:b/>
              <w:sz w:val="36"/>
              <w:szCs w:val="36"/>
            </w:rPr>
          </w:pPr>
          <w:r>
            <w:rPr>
              <w:b/>
              <w:sz w:val="36"/>
              <w:szCs w:val="36"/>
            </w:rPr>
            <w:t>Analýza provozních výdajů na úrovni státní správy</w:t>
          </w:r>
        </w:p>
      </w:sdtContent>
    </w:sdt>
    <w:p w:rsidR="005C0BD3" w:rsidRPr="00023562" w:rsidRDefault="005C0BD3" w:rsidP="005C0BD3">
      <w:pPr>
        <w:jc w:val="left"/>
        <w:rPr>
          <w:sz w:val="36"/>
          <w:szCs w:val="36"/>
        </w:rPr>
      </w:pPr>
    </w:p>
    <w:p w:rsidR="005C0BD3" w:rsidRDefault="00B65B5A" w:rsidP="00B65B5A">
      <w:pPr>
        <w:tabs>
          <w:tab w:val="left" w:pos="2205"/>
        </w:tabs>
        <w:jc w:val="left"/>
        <w:rPr>
          <w:sz w:val="32"/>
          <w:szCs w:val="32"/>
        </w:rPr>
      </w:pPr>
      <w:r>
        <w:rPr>
          <w:sz w:val="32"/>
          <w:szCs w:val="32"/>
        </w:rPr>
        <w:tab/>
      </w:r>
    </w:p>
    <w:p w:rsidR="005C0BD3" w:rsidRDefault="005C0BD3" w:rsidP="005C0BD3">
      <w:pPr>
        <w:jc w:val="left"/>
        <w:rPr>
          <w:sz w:val="32"/>
          <w:szCs w:val="32"/>
        </w:rPr>
      </w:pPr>
    </w:p>
    <w:p w:rsidR="005C0BD3" w:rsidRPr="00023562" w:rsidRDefault="005C0BD3" w:rsidP="005C0BD3">
      <w:pPr>
        <w:jc w:val="left"/>
        <w:rPr>
          <w:sz w:val="32"/>
          <w:szCs w:val="32"/>
        </w:rPr>
      </w:pPr>
    </w:p>
    <w:p w:rsidR="005C0BD3" w:rsidRDefault="005C0BD3" w:rsidP="005C0BD3">
      <w:pPr>
        <w:jc w:val="left"/>
        <w:rPr>
          <w:sz w:val="32"/>
          <w:szCs w:val="32"/>
        </w:rPr>
      </w:pPr>
    </w:p>
    <w:p w:rsidR="005C0BD3" w:rsidRDefault="005C0BD3" w:rsidP="005C0BD3">
      <w:pPr>
        <w:jc w:val="left"/>
        <w:rPr>
          <w:sz w:val="32"/>
          <w:szCs w:val="32"/>
        </w:rPr>
      </w:pPr>
    </w:p>
    <w:p w:rsidR="005C0BD3" w:rsidRPr="00023562" w:rsidRDefault="005C0BD3" w:rsidP="005C0BD3">
      <w:pPr>
        <w:jc w:val="left"/>
        <w:rPr>
          <w:rFonts w:eastAsia="Times New Roman" w:cs="Arial"/>
          <w:b/>
          <w:lang w:eastAsia="cs-CZ"/>
        </w:rPr>
      </w:pPr>
      <w:r w:rsidRPr="00023562">
        <w:rPr>
          <w:rFonts w:eastAsia="Times New Roman" w:cs="Arial"/>
          <w:b/>
          <w:lang w:eastAsia="cs-CZ"/>
        </w:rPr>
        <w:t>Zpracovatel:</w:t>
      </w:r>
      <w:r w:rsidRPr="00023562">
        <w:rPr>
          <w:rFonts w:eastAsia="Times New Roman" w:cs="Arial"/>
          <w:b/>
          <w:lang w:eastAsia="cs-CZ"/>
        </w:rPr>
        <w:tab/>
        <w:t>Česká republika – Ministerstvo financí</w:t>
      </w:r>
    </w:p>
    <w:p w:rsidR="005C0BD3" w:rsidRPr="00023562" w:rsidRDefault="005C0BD3" w:rsidP="005C0BD3">
      <w:pPr>
        <w:jc w:val="left"/>
        <w:rPr>
          <w:rFonts w:eastAsia="Times New Roman" w:cs="Arial"/>
          <w:lang w:eastAsia="cs-CZ"/>
        </w:rPr>
      </w:pPr>
      <w:r w:rsidRPr="00023562">
        <w:rPr>
          <w:rFonts w:eastAsia="Times New Roman" w:cs="Arial"/>
          <w:lang w:eastAsia="cs-CZ"/>
        </w:rPr>
        <w:tab/>
      </w:r>
      <w:r w:rsidRPr="00023562">
        <w:rPr>
          <w:rFonts w:eastAsia="Times New Roman" w:cs="Arial"/>
          <w:lang w:eastAsia="cs-CZ"/>
        </w:rPr>
        <w:tab/>
      </w:r>
      <w:r>
        <w:rPr>
          <w:rFonts w:eastAsia="Times New Roman" w:cs="Arial"/>
          <w:lang w:eastAsia="cs-CZ"/>
        </w:rPr>
        <w:t>Odbor 47 – Centrální harmonizační jednotka</w:t>
      </w: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Default="005C0BD3" w:rsidP="005C0BD3">
      <w:pPr>
        <w:jc w:val="left"/>
        <w:rPr>
          <w:rFonts w:eastAsia="Times New Roman" w:cs="Arial"/>
          <w:lang w:eastAsia="cs-CZ"/>
        </w:rPr>
      </w:pPr>
    </w:p>
    <w:p w:rsidR="005C0BD3" w:rsidRPr="00023562" w:rsidRDefault="005C0BD3" w:rsidP="005C0BD3">
      <w:pPr>
        <w:jc w:val="left"/>
        <w:rPr>
          <w:rFonts w:eastAsia="Times New Roman" w:cs="Arial"/>
          <w:lang w:eastAsia="cs-CZ"/>
        </w:rPr>
      </w:pPr>
    </w:p>
    <w:p w:rsidR="005C0BD3" w:rsidRPr="00023562" w:rsidRDefault="005C0BD3" w:rsidP="005C0BD3">
      <w:pPr>
        <w:jc w:val="left"/>
        <w:rPr>
          <w:rFonts w:eastAsia="Times New Roman" w:cs="Arial"/>
          <w:lang w:eastAsia="cs-CZ"/>
        </w:rPr>
        <w:sectPr w:rsidR="005C0BD3" w:rsidRPr="00023562" w:rsidSect="006A4EF0">
          <w:headerReference w:type="default" r:id="rId9"/>
          <w:pgSz w:w="11906" w:h="16838" w:code="9"/>
          <w:pgMar w:top="1669" w:right="1418" w:bottom="1418" w:left="1418" w:header="851" w:footer="687" w:gutter="0"/>
          <w:cols w:space="708"/>
          <w:docGrid w:linePitch="360"/>
        </w:sectPr>
      </w:pPr>
      <w:r>
        <w:t>Únor</w:t>
      </w:r>
      <w:r w:rsidRPr="00023562">
        <w:t xml:space="preserve"> 2015</w:t>
      </w:r>
    </w:p>
    <w:sdt>
      <w:sdtPr>
        <w:rPr>
          <w:rFonts w:asciiTheme="minorHAnsi" w:eastAsiaTheme="minorEastAsia" w:hAnsiTheme="minorHAnsi" w:cs="Tahoma"/>
          <w:bCs w:val="0"/>
          <w:color w:val="auto"/>
          <w:sz w:val="22"/>
          <w:szCs w:val="20"/>
          <w:lang w:eastAsia="en-US"/>
        </w:rPr>
        <w:id w:val="-932118442"/>
        <w:docPartObj>
          <w:docPartGallery w:val="Table of Contents"/>
          <w:docPartUnique/>
        </w:docPartObj>
      </w:sdtPr>
      <w:sdtEndPr>
        <w:rPr>
          <w:b/>
          <w:noProof/>
          <w:sz w:val="20"/>
        </w:rPr>
      </w:sdtEndPr>
      <w:sdtContent>
        <w:p w:rsidR="005C0BD3" w:rsidRDefault="005C0BD3">
          <w:pPr>
            <w:pStyle w:val="Nadpisobsahu"/>
          </w:pPr>
          <w:r>
            <w:t>Obsah</w:t>
          </w:r>
        </w:p>
        <w:p w:rsidR="006A4EF0" w:rsidRDefault="005C0BD3">
          <w:pPr>
            <w:pStyle w:val="Obsah1"/>
            <w:rPr>
              <w:rFonts w:cstheme="minorBidi"/>
              <w:sz w:val="22"/>
              <w:szCs w:val="22"/>
              <w:lang w:eastAsia="cs-CZ"/>
            </w:rPr>
          </w:pPr>
          <w:r>
            <w:fldChar w:fldCharType="begin"/>
          </w:r>
          <w:r>
            <w:instrText xml:space="preserve"> TOC \o "1-3" \h \z \u </w:instrText>
          </w:r>
          <w:r>
            <w:fldChar w:fldCharType="separate"/>
          </w:r>
          <w:hyperlink w:anchor="_Toc411438719" w:history="1">
            <w:r w:rsidR="006A4EF0" w:rsidRPr="009173DB">
              <w:rPr>
                <w:rStyle w:val="Hypertextovodkaz"/>
              </w:rPr>
              <w:t>1</w:t>
            </w:r>
            <w:r w:rsidR="006A4EF0">
              <w:rPr>
                <w:rFonts w:cstheme="minorBidi"/>
                <w:sz w:val="22"/>
                <w:szCs w:val="22"/>
                <w:lang w:eastAsia="cs-CZ"/>
              </w:rPr>
              <w:tab/>
            </w:r>
            <w:r w:rsidR="006A4EF0" w:rsidRPr="009173DB">
              <w:rPr>
                <w:rStyle w:val="Hypertextovodkaz"/>
              </w:rPr>
              <w:t>Komoditní výdajová analýza</w:t>
            </w:r>
            <w:r w:rsidR="006A4EF0">
              <w:rPr>
                <w:webHidden/>
              </w:rPr>
              <w:tab/>
            </w:r>
            <w:r w:rsidR="006A4EF0">
              <w:rPr>
                <w:webHidden/>
              </w:rPr>
              <w:fldChar w:fldCharType="begin"/>
            </w:r>
            <w:r w:rsidR="006A4EF0">
              <w:rPr>
                <w:webHidden/>
              </w:rPr>
              <w:instrText xml:space="preserve"> PAGEREF _Toc411438719 \h </w:instrText>
            </w:r>
            <w:r w:rsidR="006A4EF0">
              <w:rPr>
                <w:webHidden/>
              </w:rPr>
            </w:r>
            <w:r w:rsidR="006A4EF0">
              <w:rPr>
                <w:webHidden/>
              </w:rPr>
              <w:fldChar w:fldCharType="separate"/>
            </w:r>
            <w:r w:rsidR="00297831">
              <w:rPr>
                <w:webHidden/>
              </w:rPr>
              <w:t>3</w:t>
            </w:r>
            <w:r w:rsidR="006A4EF0">
              <w:rPr>
                <w:webHidden/>
              </w:rPr>
              <w:fldChar w:fldCharType="end"/>
            </w:r>
          </w:hyperlink>
        </w:p>
        <w:p w:rsidR="006A4EF0" w:rsidRDefault="00297831">
          <w:pPr>
            <w:pStyle w:val="Obsah2"/>
            <w:rPr>
              <w:rFonts w:cstheme="minorBidi"/>
              <w:noProof/>
              <w:sz w:val="22"/>
              <w:szCs w:val="22"/>
              <w:lang w:eastAsia="cs-CZ"/>
            </w:rPr>
          </w:pPr>
          <w:hyperlink w:anchor="_Toc411438720" w:history="1">
            <w:r w:rsidR="006A4EF0" w:rsidRPr="009173DB">
              <w:rPr>
                <w:rStyle w:val="Hypertextovodkaz"/>
                <w:noProof/>
              </w:rPr>
              <w:t>1.1</w:t>
            </w:r>
            <w:r w:rsidR="006A4EF0">
              <w:rPr>
                <w:rFonts w:cstheme="minorBidi"/>
                <w:noProof/>
                <w:sz w:val="22"/>
                <w:szCs w:val="22"/>
                <w:lang w:eastAsia="cs-CZ"/>
              </w:rPr>
              <w:tab/>
            </w:r>
            <w:r w:rsidR="006A4EF0" w:rsidRPr="009173DB">
              <w:rPr>
                <w:rStyle w:val="Hypertextovodkaz"/>
                <w:noProof/>
              </w:rPr>
              <w:t>Komodity vhodné pro centrální nákup</w:t>
            </w:r>
            <w:r w:rsidR="006A4EF0">
              <w:rPr>
                <w:noProof/>
                <w:webHidden/>
              </w:rPr>
              <w:tab/>
            </w:r>
            <w:r w:rsidR="006A4EF0">
              <w:rPr>
                <w:noProof/>
                <w:webHidden/>
              </w:rPr>
              <w:fldChar w:fldCharType="begin"/>
            </w:r>
            <w:r w:rsidR="006A4EF0">
              <w:rPr>
                <w:noProof/>
                <w:webHidden/>
              </w:rPr>
              <w:instrText xml:space="preserve"> PAGEREF _Toc411438720 \h </w:instrText>
            </w:r>
            <w:r w:rsidR="006A4EF0">
              <w:rPr>
                <w:noProof/>
                <w:webHidden/>
              </w:rPr>
            </w:r>
            <w:r w:rsidR="006A4EF0">
              <w:rPr>
                <w:noProof/>
                <w:webHidden/>
              </w:rPr>
              <w:fldChar w:fldCharType="separate"/>
            </w:r>
            <w:r>
              <w:rPr>
                <w:noProof/>
                <w:webHidden/>
              </w:rPr>
              <w:t>3</w:t>
            </w:r>
            <w:r w:rsidR="006A4EF0">
              <w:rPr>
                <w:noProof/>
                <w:webHidden/>
              </w:rPr>
              <w:fldChar w:fldCharType="end"/>
            </w:r>
          </w:hyperlink>
        </w:p>
        <w:p w:rsidR="006A4EF0" w:rsidRDefault="00297831">
          <w:pPr>
            <w:pStyle w:val="Obsah2"/>
            <w:rPr>
              <w:rFonts w:cstheme="minorBidi"/>
              <w:noProof/>
              <w:sz w:val="22"/>
              <w:szCs w:val="22"/>
              <w:lang w:eastAsia="cs-CZ"/>
            </w:rPr>
          </w:pPr>
          <w:hyperlink w:anchor="_Toc411438721" w:history="1">
            <w:r w:rsidR="006A4EF0" w:rsidRPr="009173DB">
              <w:rPr>
                <w:rStyle w:val="Hypertextovodkaz"/>
                <w:noProof/>
              </w:rPr>
              <w:t>1.2</w:t>
            </w:r>
            <w:r w:rsidR="006A4EF0">
              <w:rPr>
                <w:rFonts w:cstheme="minorBidi"/>
                <w:noProof/>
                <w:sz w:val="22"/>
                <w:szCs w:val="22"/>
                <w:lang w:eastAsia="cs-CZ"/>
              </w:rPr>
              <w:tab/>
            </w:r>
            <w:r w:rsidR="006A4EF0" w:rsidRPr="009173DB">
              <w:rPr>
                <w:rStyle w:val="Hypertextovodkaz"/>
                <w:noProof/>
              </w:rPr>
              <w:t>Rozpad výdajů komoditních kategorií</w:t>
            </w:r>
            <w:r w:rsidR="006A4EF0">
              <w:rPr>
                <w:noProof/>
                <w:webHidden/>
              </w:rPr>
              <w:tab/>
            </w:r>
            <w:r w:rsidR="006A4EF0">
              <w:rPr>
                <w:noProof/>
                <w:webHidden/>
              </w:rPr>
              <w:fldChar w:fldCharType="begin"/>
            </w:r>
            <w:r w:rsidR="006A4EF0">
              <w:rPr>
                <w:noProof/>
                <w:webHidden/>
              </w:rPr>
              <w:instrText xml:space="preserve"> PAGEREF _Toc411438721 \h </w:instrText>
            </w:r>
            <w:r w:rsidR="006A4EF0">
              <w:rPr>
                <w:noProof/>
                <w:webHidden/>
              </w:rPr>
            </w:r>
            <w:r w:rsidR="006A4EF0">
              <w:rPr>
                <w:noProof/>
                <w:webHidden/>
              </w:rPr>
              <w:fldChar w:fldCharType="separate"/>
            </w:r>
            <w:r>
              <w:rPr>
                <w:noProof/>
                <w:webHidden/>
              </w:rPr>
              <w:t>4</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2" w:history="1">
            <w:r w:rsidR="006A4EF0" w:rsidRPr="009173DB">
              <w:rPr>
                <w:rStyle w:val="Hypertextovodkaz"/>
                <w:noProof/>
              </w:rPr>
              <w:t>1.2.1</w:t>
            </w:r>
            <w:r w:rsidR="006A4EF0">
              <w:rPr>
                <w:rFonts w:cstheme="minorBidi"/>
                <w:noProof/>
                <w:sz w:val="22"/>
                <w:szCs w:val="22"/>
                <w:lang w:eastAsia="cs-CZ"/>
              </w:rPr>
              <w:tab/>
            </w:r>
            <w:r w:rsidR="006A4EF0" w:rsidRPr="009173DB">
              <w:rPr>
                <w:rStyle w:val="Hypertextovodkaz"/>
                <w:noProof/>
              </w:rPr>
              <w:t>Energie a správa budov</w:t>
            </w:r>
            <w:r w:rsidR="006A4EF0">
              <w:rPr>
                <w:noProof/>
                <w:webHidden/>
              </w:rPr>
              <w:tab/>
            </w:r>
            <w:r w:rsidR="006A4EF0">
              <w:rPr>
                <w:noProof/>
                <w:webHidden/>
              </w:rPr>
              <w:fldChar w:fldCharType="begin"/>
            </w:r>
            <w:r w:rsidR="006A4EF0">
              <w:rPr>
                <w:noProof/>
                <w:webHidden/>
              </w:rPr>
              <w:instrText xml:space="preserve"> PAGEREF _Toc411438722 \h </w:instrText>
            </w:r>
            <w:r w:rsidR="006A4EF0">
              <w:rPr>
                <w:noProof/>
                <w:webHidden/>
              </w:rPr>
            </w:r>
            <w:r w:rsidR="006A4EF0">
              <w:rPr>
                <w:noProof/>
                <w:webHidden/>
              </w:rPr>
              <w:fldChar w:fldCharType="separate"/>
            </w:r>
            <w:r>
              <w:rPr>
                <w:noProof/>
                <w:webHidden/>
              </w:rPr>
              <w:t>4</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3" w:history="1">
            <w:r w:rsidR="006A4EF0" w:rsidRPr="009173DB">
              <w:rPr>
                <w:rStyle w:val="Hypertextovodkaz"/>
                <w:noProof/>
              </w:rPr>
              <w:t>1.2.2</w:t>
            </w:r>
            <w:r w:rsidR="006A4EF0">
              <w:rPr>
                <w:rFonts w:cstheme="minorBidi"/>
                <w:noProof/>
                <w:sz w:val="22"/>
                <w:szCs w:val="22"/>
                <w:lang w:eastAsia="cs-CZ"/>
              </w:rPr>
              <w:tab/>
            </w:r>
            <w:r w:rsidR="006A4EF0" w:rsidRPr="009173DB">
              <w:rPr>
                <w:rStyle w:val="Hypertextovodkaz"/>
                <w:noProof/>
              </w:rPr>
              <w:t>Právní a poradenské služby</w:t>
            </w:r>
            <w:r w:rsidR="006A4EF0">
              <w:rPr>
                <w:noProof/>
                <w:webHidden/>
              </w:rPr>
              <w:tab/>
            </w:r>
            <w:r w:rsidR="006A4EF0">
              <w:rPr>
                <w:noProof/>
                <w:webHidden/>
              </w:rPr>
              <w:fldChar w:fldCharType="begin"/>
            </w:r>
            <w:r w:rsidR="006A4EF0">
              <w:rPr>
                <w:noProof/>
                <w:webHidden/>
              </w:rPr>
              <w:instrText xml:space="preserve"> PAGEREF _Toc411438723 \h </w:instrText>
            </w:r>
            <w:r w:rsidR="006A4EF0">
              <w:rPr>
                <w:noProof/>
                <w:webHidden/>
              </w:rPr>
            </w:r>
            <w:r w:rsidR="006A4EF0">
              <w:rPr>
                <w:noProof/>
                <w:webHidden/>
              </w:rPr>
              <w:fldChar w:fldCharType="separate"/>
            </w:r>
            <w:r>
              <w:rPr>
                <w:noProof/>
                <w:webHidden/>
              </w:rPr>
              <w:t>4</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4" w:history="1">
            <w:r w:rsidR="006A4EF0" w:rsidRPr="009173DB">
              <w:rPr>
                <w:rStyle w:val="Hypertextovodkaz"/>
                <w:noProof/>
              </w:rPr>
              <w:t>1.2.3</w:t>
            </w:r>
            <w:r w:rsidR="006A4EF0">
              <w:rPr>
                <w:rFonts w:cstheme="minorBidi"/>
                <w:noProof/>
                <w:sz w:val="22"/>
                <w:szCs w:val="22"/>
                <w:lang w:eastAsia="cs-CZ"/>
              </w:rPr>
              <w:tab/>
            </w:r>
            <w:r w:rsidR="006A4EF0" w:rsidRPr="009173DB">
              <w:rPr>
                <w:rStyle w:val="Hypertextovodkaz"/>
                <w:noProof/>
              </w:rPr>
              <w:t>Doprava a ubytování</w:t>
            </w:r>
            <w:r w:rsidR="006A4EF0">
              <w:rPr>
                <w:noProof/>
                <w:webHidden/>
              </w:rPr>
              <w:tab/>
            </w:r>
            <w:r w:rsidR="006A4EF0">
              <w:rPr>
                <w:noProof/>
                <w:webHidden/>
              </w:rPr>
              <w:fldChar w:fldCharType="begin"/>
            </w:r>
            <w:r w:rsidR="006A4EF0">
              <w:rPr>
                <w:noProof/>
                <w:webHidden/>
              </w:rPr>
              <w:instrText xml:space="preserve"> PAGEREF _Toc411438724 \h </w:instrText>
            </w:r>
            <w:r w:rsidR="006A4EF0">
              <w:rPr>
                <w:noProof/>
                <w:webHidden/>
              </w:rPr>
            </w:r>
            <w:r w:rsidR="006A4EF0">
              <w:rPr>
                <w:noProof/>
                <w:webHidden/>
              </w:rPr>
              <w:fldChar w:fldCharType="separate"/>
            </w:r>
            <w:r>
              <w:rPr>
                <w:noProof/>
                <w:webHidden/>
              </w:rPr>
              <w:t>5</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5" w:history="1">
            <w:r w:rsidR="006A4EF0" w:rsidRPr="009173DB">
              <w:rPr>
                <w:rStyle w:val="Hypertextovodkaz"/>
                <w:noProof/>
              </w:rPr>
              <w:t>1.2.4</w:t>
            </w:r>
            <w:r w:rsidR="006A4EF0">
              <w:rPr>
                <w:rFonts w:cstheme="minorBidi"/>
                <w:noProof/>
                <w:sz w:val="22"/>
                <w:szCs w:val="22"/>
                <w:lang w:eastAsia="cs-CZ"/>
              </w:rPr>
              <w:tab/>
            </w:r>
            <w:r w:rsidR="006A4EF0" w:rsidRPr="009173DB">
              <w:rPr>
                <w:rStyle w:val="Hypertextovodkaz"/>
                <w:noProof/>
              </w:rPr>
              <w:t>ICT komodity</w:t>
            </w:r>
            <w:r w:rsidR="006A4EF0">
              <w:rPr>
                <w:noProof/>
                <w:webHidden/>
              </w:rPr>
              <w:tab/>
            </w:r>
            <w:r w:rsidR="006A4EF0">
              <w:rPr>
                <w:noProof/>
                <w:webHidden/>
              </w:rPr>
              <w:fldChar w:fldCharType="begin"/>
            </w:r>
            <w:r w:rsidR="006A4EF0">
              <w:rPr>
                <w:noProof/>
                <w:webHidden/>
              </w:rPr>
              <w:instrText xml:space="preserve"> PAGEREF _Toc411438725 \h </w:instrText>
            </w:r>
            <w:r w:rsidR="006A4EF0">
              <w:rPr>
                <w:noProof/>
                <w:webHidden/>
              </w:rPr>
            </w:r>
            <w:r w:rsidR="006A4EF0">
              <w:rPr>
                <w:noProof/>
                <w:webHidden/>
              </w:rPr>
              <w:fldChar w:fldCharType="separate"/>
            </w:r>
            <w:r>
              <w:rPr>
                <w:noProof/>
                <w:webHidden/>
              </w:rPr>
              <w:t>5</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6" w:history="1">
            <w:r w:rsidR="006A4EF0" w:rsidRPr="009173DB">
              <w:rPr>
                <w:rStyle w:val="Hypertextovodkaz"/>
                <w:noProof/>
              </w:rPr>
              <w:t>1.2.5</w:t>
            </w:r>
            <w:r w:rsidR="006A4EF0">
              <w:rPr>
                <w:rFonts w:cstheme="minorBidi"/>
                <w:noProof/>
                <w:sz w:val="22"/>
                <w:szCs w:val="22"/>
                <w:lang w:eastAsia="cs-CZ"/>
              </w:rPr>
              <w:tab/>
            </w:r>
            <w:r w:rsidR="006A4EF0" w:rsidRPr="009173DB">
              <w:rPr>
                <w:rStyle w:val="Hypertextovodkaz"/>
                <w:noProof/>
              </w:rPr>
              <w:t>Vozový park a pohonné hmoty</w:t>
            </w:r>
            <w:r w:rsidR="006A4EF0">
              <w:rPr>
                <w:noProof/>
                <w:webHidden/>
              </w:rPr>
              <w:tab/>
            </w:r>
            <w:r w:rsidR="006A4EF0">
              <w:rPr>
                <w:noProof/>
                <w:webHidden/>
              </w:rPr>
              <w:fldChar w:fldCharType="begin"/>
            </w:r>
            <w:r w:rsidR="006A4EF0">
              <w:rPr>
                <w:noProof/>
                <w:webHidden/>
              </w:rPr>
              <w:instrText xml:space="preserve"> PAGEREF _Toc411438726 \h </w:instrText>
            </w:r>
            <w:r w:rsidR="006A4EF0">
              <w:rPr>
                <w:noProof/>
                <w:webHidden/>
              </w:rPr>
            </w:r>
            <w:r w:rsidR="006A4EF0">
              <w:rPr>
                <w:noProof/>
                <w:webHidden/>
              </w:rPr>
              <w:fldChar w:fldCharType="separate"/>
            </w:r>
            <w:r>
              <w:rPr>
                <w:noProof/>
                <w:webHidden/>
              </w:rPr>
              <w:t>6</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7" w:history="1">
            <w:r w:rsidR="006A4EF0" w:rsidRPr="009173DB">
              <w:rPr>
                <w:rStyle w:val="Hypertextovodkaz"/>
                <w:noProof/>
              </w:rPr>
              <w:t>1.2.6</w:t>
            </w:r>
            <w:r w:rsidR="006A4EF0">
              <w:rPr>
                <w:rFonts w:cstheme="minorBidi"/>
                <w:noProof/>
                <w:sz w:val="22"/>
                <w:szCs w:val="22"/>
                <w:lang w:eastAsia="cs-CZ"/>
              </w:rPr>
              <w:tab/>
            </w:r>
            <w:r w:rsidR="006A4EF0" w:rsidRPr="009173DB">
              <w:rPr>
                <w:rStyle w:val="Hypertextovodkaz"/>
                <w:noProof/>
              </w:rPr>
              <w:t>Kancelářské potřeby, kancelářská technika</w:t>
            </w:r>
            <w:r w:rsidR="006A4EF0">
              <w:rPr>
                <w:noProof/>
                <w:webHidden/>
              </w:rPr>
              <w:tab/>
            </w:r>
            <w:r w:rsidR="006A4EF0">
              <w:rPr>
                <w:noProof/>
                <w:webHidden/>
              </w:rPr>
              <w:fldChar w:fldCharType="begin"/>
            </w:r>
            <w:r w:rsidR="006A4EF0">
              <w:rPr>
                <w:noProof/>
                <w:webHidden/>
              </w:rPr>
              <w:instrText xml:space="preserve"> PAGEREF _Toc411438727 \h </w:instrText>
            </w:r>
            <w:r w:rsidR="006A4EF0">
              <w:rPr>
                <w:noProof/>
                <w:webHidden/>
              </w:rPr>
            </w:r>
            <w:r w:rsidR="006A4EF0">
              <w:rPr>
                <w:noProof/>
                <w:webHidden/>
              </w:rPr>
              <w:fldChar w:fldCharType="separate"/>
            </w:r>
            <w:r>
              <w:rPr>
                <w:noProof/>
                <w:webHidden/>
              </w:rPr>
              <w:t>6</w:t>
            </w:r>
            <w:r w:rsidR="006A4EF0">
              <w:rPr>
                <w:noProof/>
                <w:webHidden/>
              </w:rPr>
              <w:fldChar w:fldCharType="end"/>
            </w:r>
          </w:hyperlink>
        </w:p>
        <w:p w:rsidR="006A4EF0" w:rsidRDefault="00297831">
          <w:pPr>
            <w:pStyle w:val="Obsah3"/>
            <w:rPr>
              <w:rFonts w:cstheme="minorBidi"/>
              <w:noProof/>
              <w:sz w:val="22"/>
              <w:szCs w:val="22"/>
              <w:lang w:eastAsia="cs-CZ"/>
            </w:rPr>
          </w:pPr>
          <w:hyperlink w:anchor="_Toc411438728" w:history="1">
            <w:r w:rsidR="006A4EF0" w:rsidRPr="009173DB">
              <w:rPr>
                <w:rStyle w:val="Hypertextovodkaz"/>
                <w:noProof/>
              </w:rPr>
              <w:t>1.2.7</w:t>
            </w:r>
            <w:r w:rsidR="006A4EF0">
              <w:rPr>
                <w:rFonts w:cstheme="minorBidi"/>
                <w:noProof/>
                <w:sz w:val="22"/>
                <w:szCs w:val="22"/>
                <w:lang w:eastAsia="cs-CZ"/>
              </w:rPr>
              <w:tab/>
            </w:r>
            <w:r w:rsidR="006A4EF0" w:rsidRPr="009173DB">
              <w:rPr>
                <w:rStyle w:val="Hypertextovodkaz"/>
                <w:noProof/>
              </w:rPr>
              <w:t>Vzdělávání a školení</w:t>
            </w:r>
            <w:r w:rsidR="006A4EF0">
              <w:rPr>
                <w:noProof/>
                <w:webHidden/>
              </w:rPr>
              <w:tab/>
            </w:r>
            <w:r w:rsidR="006A4EF0">
              <w:rPr>
                <w:noProof/>
                <w:webHidden/>
              </w:rPr>
              <w:fldChar w:fldCharType="begin"/>
            </w:r>
            <w:r w:rsidR="006A4EF0">
              <w:rPr>
                <w:noProof/>
                <w:webHidden/>
              </w:rPr>
              <w:instrText xml:space="preserve"> PAGEREF _Toc411438728 \h </w:instrText>
            </w:r>
            <w:r w:rsidR="006A4EF0">
              <w:rPr>
                <w:noProof/>
                <w:webHidden/>
              </w:rPr>
            </w:r>
            <w:r w:rsidR="006A4EF0">
              <w:rPr>
                <w:noProof/>
                <w:webHidden/>
              </w:rPr>
              <w:fldChar w:fldCharType="separate"/>
            </w:r>
            <w:r>
              <w:rPr>
                <w:noProof/>
                <w:webHidden/>
              </w:rPr>
              <w:t>6</w:t>
            </w:r>
            <w:r w:rsidR="006A4EF0">
              <w:rPr>
                <w:noProof/>
                <w:webHidden/>
              </w:rPr>
              <w:fldChar w:fldCharType="end"/>
            </w:r>
          </w:hyperlink>
        </w:p>
        <w:p w:rsidR="006A4EF0" w:rsidRDefault="00297831">
          <w:pPr>
            <w:pStyle w:val="Obsah1"/>
            <w:rPr>
              <w:rFonts w:cstheme="minorBidi"/>
              <w:sz w:val="22"/>
              <w:szCs w:val="22"/>
              <w:lang w:eastAsia="cs-CZ"/>
            </w:rPr>
          </w:pPr>
          <w:hyperlink w:anchor="_Toc411438729" w:history="1">
            <w:r w:rsidR="006A4EF0" w:rsidRPr="009173DB">
              <w:rPr>
                <w:rStyle w:val="Hypertextovodkaz"/>
              </w:rPr>
              <w:t>2</w:t>
            </w:r>
            <w:r w:rsidR="006A4EF0">
              <w:rPr>
                <w:rFonts w:cstheme="minorBidi"/>
                <w:sz w:val="22"/>
                <w:szCs w:val="22"/>
                <w:lang w:eastAsia="cs-CZ"/>
              </w:rPr>
              <w:tab/>
            </w:r>
            <w:r w:rsidR="006A4EF0" w:rsidRPr="009173DB">
              <w:rPr>
                <w:rStyle w:val="Hypertextovodkaz"/>
              </w:rPr>
              <w:t>Postup při zpracování komoditní analýzy</w:t>
            </w:r>
            <w:r w:rsidR="006A4EF0">
              <w:rPr>
                <w:webHidden/>
              </w:rPr>
              <w:tab/>
            </w:r>
            <w:r w:rsidR="006A4EF0">
              <w:rPr>
                <w:webHidden/>
              </w:rPr>
              <w:fldChar w:fldCharType="begin"/>
            </w:r>
            <w:r w:rsidR="006A4EF0">
              <w:rPr>
                <w:webHidden/>
              </w:rPr>
              <w:instrText xml:space="preserve"> PAGEREF _Toc411438729 \h </w:instrText>
            </w:r>
            <w:r w:rsidR="006A4EF0">
              <w:rPr>
                <w:webHidden/>
              </w:rPr>
            </w:r>
            <w:r w:rsidR="006A4EF0">
              <w:rPr>
                <w:webHidden/>
              </w:rPr>
              <w:fldChar w:fldCharType="separate"/>
            </w:r>
            <w:r>
              <w:rPr>
                <w:webHidden/>
              </w:rPr>
              <w:t>7</w:t>
            </w:r>
            <w:r w:rsidR="006A4EF0">
              <w:rPr>
                <w:webHidden/>
              </w:rPr>
              <w:fldChar w:fldCharType="end"/>
            </w:r>
          </w:hyperlink>
        </w:p>
        <w:p w:rsidR="006A4EF0" w:rsidRDefault="00297831">
          <w:pPr>
            <w:pStyle w:val="Obsah2"/>
            <w:rPr>
              <w:rFonts w:cstheme="minorBidi"/>
              <w:noProof/>
              <w:sz w:val="22"/>
              <w:szCs w:val="22"/>
              <w:lang w:eastAsia="cs-CZ"/>
            </w:rPr>
          </w:pPr>
          <w:hyperlink w:anchor="_Toc411438730" w:history="1">
            <w:r w:rsidR="006A4EF0" w:rsidRPr="009173DB">
              <w:rPr>
                <w:rStyle w:val="Hypertextovodkaz"/>
                <w:noProof/>
              </w:rPr>
              <w:t>2.1</w:t>
            </w:r>
            <w:r w:rsidR="006A4EF0">
              <w:rPr>
                <w:rFonts w:cstheme="minorBidi"/>
                <w:noProof/>
                <w:sz w:val="22"/>
                <w:szCs w:val="22"/>
                <w:lang w:eastAsia="cs-CZ"/>
              </w:rPr>
              <w:tab/>
            </w:r>
            <w:r w:rsidR="006A4EF0" w:rsidRPr="009173DB">
              <w:rPr>
                <w:rStyle w:val="Hypertextovodkaz"/>
                <w:noProof/>
              </w:rPr>
              <w:t>Číselník komoditních kategorií</w:t>
            </w:r>
            <w:r w:rsidR="006A4EF0">
              <w:rPr>
                <w:noProof/>
                <w:webHidden/>
              </w:rPr>
              <w:tab/>
            </w:r>
            <w:r w:rsidR="006A4EF0">
              <w:rPr>
                <w:noProof/>
                <w:webHidden/>
              </w:rPr>
              <w:fldChar w:fldCharType="begin"/>
            </w:r>
            <w:r w:rsidR="006A4EF0">
              <w:rPr>
                <w:noProof/>
                <w:webHidden/>
              </w:rPr>
              <w:instrText xml:space="preserve"> PAGEREF _Toc411438730 \h </w:instrText>
            </w:r>
            <w:r w:rsidR="006A4EF0">
              <w:rPr>
                <w:noProof/>
                <w:webHidden/>
              </w:rPr>
            </w:r>
            <w:r w:rsidR="006A4EF0">
              <w:rPr>
                <w:noProof/>
                <w:webHidden/>
              </w:rPr>
              <w:fldChar w:fldCharType="separate"/>
            </w:r>
            <w:r>
              <w:rPr>
                <w:noProof/>
                <w:webHidden/>
              </w:rPr>
              <w:t>7</w:t>
            </w:r>
            <w:r w:rsidR="006A4EF0">
              <w:rPr>
                <w:noProof/>
                <w:webHidden/>
              </w:rPr>
              <w:fldChar w:fldCharType="end"/>
            </w:r>
          </w:hyperlink>
        </w:p>
        <w:p w:rsidR="006A4EF0" w:rsidRDefault="00297831">
          <w:pPr>
            <w:pStyle w:val="Obsah2"/>
            <w:rPr>
              <w:rFonts w:cstheme="minorBidi"/>
              <w:noProof/>
              <w:sz w:val="22"/>
              <w:szCs w:val="22"/>
              <w:lang w:eastAsia="cs-CZ"/>
            </w:rPr>
          </w:pPr>
          <w:hyperlink w:anchor="_Toc411438731" w:history="1">
            <w:r w:rsidR="006A4EF0" w:rsidRPr="009173DB">
              <w:rPr>
                <w:rStyle w:val="Hypertextovodkaz"/>
                <w:noProof/>
              </w:rPr>
              <w:t>2.2</w:t>
            </w:r>
            <w:r w:rsidR="006A4EF0">
              <w:rPr>
                <w:rFonts w:cstheme="minorBidi"/>
                <w:noProof/>
                <w:sz w:val="22"/>
                <w:szCs w:val="22"/>
                <w:lang w:eastAsia="cs-CZ"/>
              </w:rPr>
              <w:tab/>
            </w:r>
            <w:r w:rsidR="006A4EF0" w:rsidRPr="009173DB">
              <w:rPr>
                <w:rStyle w:val="Hypertextovodkaz"/>
                <w:noProof/>
              </w:rPr>
              <w:t>Kategorizace faktur</w:t>
            </w:r>
            <w:r w:rsidR="006A4EF0">
              <w:rPr>
                <w:noProof/>
                <w:webHidden/>
              </w:rPr>
              <w:tab/>
            </w:r>
            <w:r w:rsidR="006A4EF0">
              <w:rPr>
                <w:noProof/>
                <w:webHidden/>
              </w:rPr>
              <w:fldChar w:fldCharType="begin"/>
            </w:r>
            <w:r w:rsidR="006A4EF0">
              <w:rPr>
                <w:noProof/>
                <w:webHidden/>
              </w:rPr>
              <w:instrText xml:space="preserve"> PAGEREF _Toc411438731 \h </w:instrText>
            </w:r>
            <w:r w:rsidR="006A4EF0">
              <w:rPr>
                <w:noProof/>
                <w:webHidden/>
              </w:rPr>
            </w:r>
            <w:r w:rsidR="006A4EF0">
              <w:rPr>
                <w:noProof/>
                <w:webHidden/>
              </w:rPr>
              <w:fldChar w:fldCharType="separate"/>
            </w:r>
            <w:r>
              <w:rPr>
                <w:noProof/>
                <w:webHidden/>
              </w:rPr>
              <w:t>9</w:t>
            </w:r>
            <w:r w:rsidR="006A4EF0">
              <w:rPr>
                <w:noProof/>
                <w:webHidden/>
              </w:rPr>
              <w:fldChar w:fldCharType="end"/>
            </w:r>
          </w:hyperlink>
        </w:p>
        <w:p w:rsidR="006A4EF0" w:rsidRDefault="00297831">
          <w:pPr>
            <w:pStyle w:val="Obsah2"/>
            <w:rPr>
              <w:rFonts w:cstheme="minorBidi"/>
              <w:noProof/>
              <w:sz w:val="22"/>
              <w:szCs w:val="22"/>
              <w:lang w:eastAsia="cs-CZ"/>
            </w:rPr>
          </w:pPr>
          <w:hyperlink w:anchor="_Toc411438732" w:history="1">
            <w:r w:rsidR="006A4EF0" w:rsidRPr="009173DB">
              <w:rPr>
                <w:rStyle w:val="Hypertextovodkaz"/>
                <w:noProof/>
              </w:rPr>
              <w:t>2.3</w:t>
            </w:r>
            <w:r w:rsidR="006A4EF0">
              <w:rPr>
                <w:rFonts w:cstheme="minorBidi"/>
                <w:noProof/>
                <w:sz w:val="22"/>
                <w:szCs w:val="22"/>
                <w:lang w:eastAsia="cs-CZ"/>
              </w:rPr>
              <w:tab/>
            </w:r>
            <w:r w:rsidR="006A4EF0" w:rsidRPr="009173DB">
              <w:rPr>
                <w:rStyle w:val="Hypertextovodkaz"/>
                <w:noProof/>
              </w:rPr>
              <w:t>Analýza</w:t>
            </w:r>
            <w:r w:rsidR="006A4EF0">
              <w:rPr>
                <w:noProof/>
                <w:webHidden/>
              </w:rPr>
              <w:tab/>
            </w:r>
            <w:r w:rsidR="006A4EF0">
              <w:rPr>
                <w:noProof/>
                <w:webHidden/>
              </w:rPr>
              <w:fldChar w:fldCharType="begin"/>
            </w:r>
            <w:r w:rsidR="006A4EF0">
              <w:rPr>
                <w:noProof/>
                <w:webHidden/>
              </w:rPr>
              <w:instrText xml:space="preserve"> PAGEREF _Toc411438732 \h </w:instrText>
            </w:r>
            <w:r w:rsidR="006A4EF0">
              <w:rPr>
                <w:noProof/>
                <w:webHidden/>
              </w:rPr>
            </w:r>
            <w:r w:rsidR="006A4EF0">
              <w:rPr>
                <w:noProof/>
                <w:webHidden/>
              </w:rPr>
              <w:fldChar w:fldCharType="separate"/>
            </w:r>
            <w:r>
              <w:rPr>
                <w:noProof/>
                <w:webHidden/>
              </w:rPr>
              <w:t>10</w:t>
            </w:r>
            <w:r w:rsidR="006A4EF0">
              <w:rPr>
                <w:noProof/>
                <w:webHidden/>
              </w:rPr>
              <w:fldChar w:fldCharType="end"/>
            </w:r>
          </w:hyperlink>
        </w:p>
        <w:p w:rsidR="005C0BD3" w:rsidRDefault="005C0BD3">
          <w:r>
            <w:rPr>
              <w:b/>
              <w:bCs/>
              <w:noProof/>
            </w:rPr>
            <w:fldChar w:fldCharType="end"/>
          </w:r>
        </w:p>
      </w:sdtContent>
    </w:sdt>
    <w:p w:rsidR="005C0BD3" w:rsidRDefault="005C0BD3">
      <w:pPr>
        <w:spacing w:before="0" w:after="200"/>
        <w:jc w:val="left"/>
        <w:rPr>
          <w:rFonts w:ascii="Segoe UI Semibold" w:eastAsiaTheme="majorEastAsia" w:hAnsi="Segoe UI Semibold" w:cs="Segoe UI"/>
          <w:bCs/>
          <w:color w:val="093D93" w:themeColor="accent1"/>
          <w:sz w:val="32"/>
          <w:szCs w:val="28"/>
          <w:lang w:eastAsia="cs-CZ"/>
        </w:rPr>
      </w:pPr>
      <w:r>
        <w:br w:type="page"/>
      </w:r>
    </w:p>
    <w:p w:rsidR="000F5B6F" w:rsidRDefault="000F5B6F" w:rsidP="000F5B6F">
      <w:pPr>
        <w:pStyle w:val="Nadpis1"/>
      </w:pPr>
      <w:bookmarkStart w:id="1" w:name="_Toc411438719"/>
      <w:r>
        <w:lastRenderedPageBreak/>
        <w:t>Komoditní výdajová analýza</w:t>
      </w:r>
      <w:bookmarkEnd w:id="1"/>
    </w:p>
    <w:p w:rsidR="00000632" w:rsidRDefault="00000632" w:rsidP="00000632">
      <w:pPr>
        <w:rPr>
          <w:b/>
          <w:lang w:eastAsia="cs-CZ"/>
        </w:rPr>
      </w:pPr>
      <w:r>
        <w:rPr>
          <w:lang w:eastAsia="cs-CZ"/>
        </w:rPr>
        <w:t xml:space="preserve">Na základě komodit vytipovaných pro centrální nákup ze zkušeností ostatních zemí provedlo Ministerstvo financí </w:t>
      </w:r>
      <w:r w:rsidRPr="006B62C3">
        <w:rPr>
          <w:b/>
          <w:lang w:eastAsia="cs-CZ"/>
        </w:rPr>
        <w:t xml:space="preserve">analýzu skutečně realizovaných </w:t>
      </w:r>
      <w:r>
        <w:rPr>
          <w:b/>
          <w:lang w:eastAsia="cs-CZ"/>
        </w:rPr>
        <w:t xml:space="preserve">provozních </w:t>
      </w:r>
      <w:r w:rsidRPr="006B62C3">
        <w:rPr>
          <w:b/>
          <w:lang w:eastAsia="cs-CZ"/>
        </w:rPr>
        <w:t xml:space="preserve">výdajů státní správy s cílem potvrdit relevanci těchto komodit ve výdajích jednotlivých resortů a tedy i potenciál úspor dosažitelných prostřednictvím centrálního nákupu státu. </w:t>
      </w:r>
    </w:p>
    <w:p w:rsidR="00000632" w:rsidRPr="002B0C19" w:rsidRDefault="00000632" w:rsidP="00000632">
      <w:pPr>
        <w:rPr>
          <w:b/>
          <w:lang w:eastAsia="cs-CZ"/>
        </w:rPr>
      </w:pPr>
      <w:r>
        <w:rPr>
          <w:lang w:eastAsia="cs-CZ"/>
        </w:rPr>
        <w:t>Provozní výdajová analýza byla zpracovaná na vzorku 6 resortů</w:t>
      </w:r>
      <w:r>
        <w:rPr>
          <w:rStyle w:val="Znakapoznpodarou"/>
          <w:lang w:eastAsia="cs-CZ"/>
        </w:rPr>
        <w:footnoteReference w:id="1"/>
      </w:r>
      <w:r>
        <w:rPr>
          <w:lang w:eastAsia="cs-CZ"/>
        </w:rPr>
        <w:t xml:space="preserve"> na základě přehledu a kategorizace </w:t>
      </w:r>
      <w:r w:rsidR="00117873">
        <w:rPr>
          <w:lang w:eastAsia="cs-CZ"/>
        </w:rPr>
        <w:t xml:space="preserve">skutečně realizovaných výdajů, tj. </w:t>
      </w:r>
      <w:r>
        <w:rPr>
          <w:lang w:eastAsia="cs-CZ"/>
        </w:rPr>
        <w:t>uhrazených faktur za rok 2013. Podíl těchto resortů na celkovém objemu veřejných zakázek zadávaných ústředními organizačními složkami státu a jejich podřízenými organizacemi činí 31,7 %, jedná se tedy o</w:t>
      </w:r>
      <w:r w:rsidR="006A4EF0">
        <w:rPr>
          <w:lang w:eastAsia="cs-CZ"/>
        </w:rPr>
        <w:t> </w:t>
      </w:r>
      <w:r>
        <w:rPr>
          <w:lang w:eastAsia="cs-CZ"/>
        </w:rPr>
        <w:t xml:space="preserve">reprezentativní vzorek výdajů na úrovni státní správy. </w:t>
      </w:r>
    </w:p>
    <w:p w:rsidR="000F5B6F" w:rsidRPr="002B0C19" w:rsidRDefault="00B52FD3" w:rsidP="000F5B6F">
      <w:pPr>
        <w:rPr>
          <w:b/>
          <w:lang w:eastAsia="cs-CZ"/>
        </w:rPr>
      </w:pPr>
      <w:r>
        <w:rPr>
          <w:lang w:eastAsia="cs-CZ"/>
        </w:rPr>
        <w:t xml:space="preserve">Ze získaného souboru faktur byly vyřazeny faktury týkající se dotací a interních převodů v rámci organizačních složek státu. </w:t>
      </w:r>
      <w:r w:rsidR="00886B0D">
        <w:rPr>
          <w:lang w:eastAsia="cs-CZ"/>
        </w:rPr>
        <w:t xml:space="preserve">Analyzováno bylo </w:t>
      </w:r>
      <w:r w:rsidR="000F5B6F" w:rsidRPr="001A34F6">
        <w:rPr>
          <w:lang w:eastAsia="cs-CZ"/>
        </w:rPr>
        <w:t xml:space="preserve">80 680 faktur o </w:t>
      </w:r>
      <w:r w:rsidR="00886B0D">
        <w:rPr>
          <w:lang w:eastAsia="cs-CZ"/>
        </w:rPr>
        <w:t xml:space="preserve">celkovém </w:t>
      </w:r>
      <w:r w:rsidR="000F5B6F" w:rsidRPr="001A34F6">
        <w:rPr>
          <w:lang w:eastAsia="cs-CZ"/>
        </w:rPr>
        <w:t>finančním objemu 20,8</w:t>
      </w:r>
      <w:r w:rsidR="00DA41E5">
        <w:rPr>
          <w:lang w:eastAsia="cs-CZ"/>
        </w:rPr>
        <w:t> </w:t>
      </w:r>
      <w:r w:rsidR="000F5B6F" w:rsidRPr="001A34F6">
        <w:rPr>
          <w:lang w:eastAsia="cs-CZ"/>
        </w:rPr>
        <w:t>mld. Kč</w:t>
      </w:r>
      <w:r w:rsidR="000F5B6F" w:rsidRPr="002B0C19">
        <w:rPr>
          <w:b/>
          <w:lang w:eastAsia="cs-CZ"/>
        </w:rPr>
        <w:t xml:space="preserve">. </w:t>
      </w:r>
    </w:p>
    <w:p w:rsidR="000F5B6F" w:rsidRDefault="000F5B6F" w:rsidP="001A34F6">
      <w:pPr>
        <w:spacing w:after="240"/>
        <w:rPr>
          <w:noProof/>
          <w:lang w:eastAsia="cs-CZ"/>
        </w:rPr>
      </w:pPr>
      <w:r>
        <w:rPr>
          <w:noProof/>
          <w:lang w:eastAsia="cs-CZ"/>
        </w:rPr>
        <w:drawing>
          <wp:anchor distT="0" distB="0" distL="114300" distR="114300" simplePos="0" relativeHeight="251659264" behindDoc="0" locked="0" layoutInCell="1" allowOverlap="1" wp14:anchorId="154F207E" wp14:editId="179E4716">
            <wp:simplePos x="0" y="0"/>
            <wp:positionH relativeFrom="column">
              <wp:posOffset>4329430</wp:posOffset>
            </wp:positionH>
            <wp:positionV relativeFrom="paragraph">
              <wp:posOffset>274955</wp:posOffset>
            </wp:positionV>
            <wp:extent cx="1419225" cy="1114425"/>
            <wp:effectExtent l="0" t="0" r="0" b="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noProof/>
          <w:lang w:eastAsia="cs-CZ"/>
        </w:rPr>
        <w:t>Z provedené analýzy je patrná následující komoditní struktura výdajů resortů:</w:t>
      </w:r>
    </w:p>
    <w:tbl>
      <w:tblPr>
        <w:tblW w:w="0" w:type="auto"/>
        <w:tblInd w:w="55" w:type="dxa"/>
        <w:tblBorders>
          <w:top w:val="single" w:sz="4" w:space="0" w:color="2DB9FF" w:themeColor="accent2"/>
          <w:bottom w:val="single" w:sz="4" w:space="0" w:color="2DB9FF" w:themeColor="accent2"/>
        </w:tblBorders>
        <w:tblLayout w:type="fixed"/>
        <w:tblCellMar>
          <w:left w:w="70" w:type="dxa"/>
          <w:right w:w="70" w:type="dxa"/>
        </w:tblCellMar>
        <w:tblLook w:val="04A0" w:firstRow="1" w:lastRow="0" w:firstColumn="1" w:lastColumn="0" w:noHBand="0" w:noVBand="1"/>
      </w:tblPr>
      <w:tblGrid>
        <w:gridCol w:w="305"/>
        <w:gridCol w:w="4530"/>
        <w:gridCol w:w="1172"/>
        <w:gridCol w:w="813"/>
      </w:tblGrid>
      <w:tr w:rsidR="000F5B6F" w:rsidRPr="00341B5E" w:rsidTr="00455808">
        <w:trPr>
          <w:trHeight w:val="300"/>
        </w:trPr>
        <w:tc>
          <w:tcPr>
            <w:tcW w:w="305" w:type="dxa"/>
            <w:shd w:val="clear" w:color="auto" w:fill="auto"/>
            <w:noWrap/>
            <w:vAlign w:val="center"/>
            <w:hideMark/>
          </w:tcPr>
          <w:p w:rsidR="000F5B6F" w:rsidRPr="00341B5E" w:rsidRDefault="000F5B6F" w:rsidP="00970C05">
            <w:pPr>
              <w:spacing w:before="0" w:after="0" w:line="240" w:lineRule="auto"/>
              <w:jc w:val="right"/>
              <w:rPr>
                <w:rFonts w:ascii="Wingdings" w:eastAsia="Times New Roman" w:hAnsi="Wingdings" w:cs="Times New Roman"/>
                <w:color w:val="2DB9FF"/>
                <w:szCs w:val="22"/>
                <w:lang w:eastAsia="cs-CZ"/>
              </w:rPr>
            </w:pPr>
            <w:r w:rsidRPr="00341B5E">
              <w:rPr>
                <w:rFonts w:ascii="Wingdings" w:eastAsia="Times New Roman" w:hAnsi="Wingdings" w:cs="Times New Roman"/>
                <w:color w:val="2DB9FF"/>
                <w:szCs w:val="22"/>
                <w:lang w:eastAsia="cs-CZ"/>
              </w:rPr>
              <w:t></w:t>
            </w:r>
          </w:p>
        </w:tc>
        <w:tc>
          <w:tcPr>
            <w:tcW w:w="4530" w:type="dxa"/>
            <w:shd w:val="clear" w:color="auto" w:fill="auto"/>
            <w:noWrap/>
            <w:vAlign w:val="center"/>
            <w:hideMark/>
          </w:tcPr>
          <w:p w:rsidR="000F5B6F" w:rsidRPr="00341B5E" w:rsidRDefault="000F5B6F" w:rsidP="00970C05">
            <w:pPr>
              <w:spacing w:before="0" w:after="0" w:line="240" w:lineRule="auto"/>
              <w:jc w:val="left"/>
              <w:rPr>
                <w:rFonts w:ascii="Calibri" w:eastAsia="Times New Roman" w:hAnsi="Calibri" w:cs="Times New Roman"/>
                <w:b/>
                <w:bCs/>
                <w:lang w:eastAsia="cs-CZ"/>
              </w:rPr>
            </w:pPr>
            <w:r w:rsidRPr="00341B5E">
              <w:rPr>
                <w:rFonts w:ascii="Calibri" w:eastAsia="Times New Roman" w:hAnsi="Calibri" w:cs="Times New Roman"/>
                <w:b/>
                <w:bCs/>
                <w:lang w:eastAsia="cs-CZ"/>
              </w:rPr>
              <w:t xml:space="preserve">Komodity pro centrální nákup </w:t>
            </w:r>
            <w:r>
              <w:rPr>
                <w:rFonts w:ascii="Calibri" w:eastAsia="Times New Roman" w:hAnsi="Calibri" w:cs="Times New Roman"/>
                <w:b/>
                <w:bCs/>
                <w:lang w:eastAsia="cs-CZ"/>
              </w:rPr>
              <w:t>–</w:t>
            </w:r>
            <w:r w:rsidRPr="00341B5E">
              <w:rPr>
                <w:rFonts w:ascii="Calibri" w:eastAsia="Times New Roman" w:hAnsi="Calibri" w:cs="Times New Roman"/>
                <w:b/>
                <w:bCs/>
                <w:lang w:eastAsia="cs-CZ"/>
              </w:rPr>
              <w:t xml:space="preserve"> </w:t>
            </w:r>
            <w:r>
              <w:rPr>
                <w:rFonts w:ascii="Calibri" w:eastAsia="Times New Roman" w:hAnsi="Calibri" w:cs="Times New Roman"/>
                <w:b/>
                <w:bCs/>
                <w:lang w:eastAsia="cs-CZ"/>
              </w:rPr>
              <w:t>užší pojetí</w:t>
            </w:r>
            <w:r w:rsidR="00117873">
              <w:rPr>
                <w:rStyle w:val="Znakapoznpodarou"/>
                <w:rFonts w:ascii="Calibri" w:eastAsia="Times New Roman" w:hAnsi="Calibri" w:cs="Times New Roman"/>
                <w:b/>
                <w:bCs/>
                <w:lang w:eastAsia="cs-CZ"/>
              </w:rPr>
              <w:footnoteReference w:id="2"/>
            </w:r>
          </w:p>
        </w:tc>
        <w:tc>
          <w:tcPr>
            <w:tcW w:w="1172" w:type="dxa"/>
            <w:shd w:val="clear" w:color="auto" w:fill="auto"/>
            <w:noWrap/>
            <w:vAlign w:val="center"/>
            <w:hideMark/>
          </w:tcPr>
          <w:p w:rsidR="000F5B6F" w:rsidRPr="00341B5E" w:rsidRDefault="000F5B6F" w:rsidP="00970C05">
            <w:pPr>
              <w:spacing w:before="0" w:after="0" w:line="240" w:lineRule="auto"/>
              <w:jc w:val="right"/>
              <w:rPr>
                <w:rFonts w:ascii="Calibri" w:eastAsia="Times New Roman" w:hAnsi="Calibri" w:cs="Times New Roman"/>
                <w:lang w:eastAsia="cs-CZ"/>
              </w:rPr>
            </w:pPr>
            <w:r w:rsidRPr="00341B5E">
              <w:rPr>
                <w:rFonts w:ascii="Calibri" w:eastAsia="Times New Roman" w:hAnsi="Calibri" w:cs="Times New Roman"/>
                <w:lang w:eastAsia="cs-CZ"/>
              </w:rPr>
              <w:t>4 102 mil. Kč</w:t>
            </w:r>
          </w:p>
        </w:tc>
        <w:tc>
          <w:tcPr>
            <w:tcW w:w="813" w:type="dxa"/>
            <w:shd w:val="clear" w:color="auto" w:fill="auto"/>
            <w:noWrap/>
            <w:vAlign w:val="center"/>
            <w:hideMark/>
          </w:tcPr>
          <w:p w:rsidR="000F5B6F" w:rsidRPr="008D055E" w:rsidRDefault="000F5B6F" w:rsidP="008D055E">
            <w:pPr>
              <w:spacing w:before="0" w:after="0" w:line="240" w:lineRule="auto"/>
              <w:jc w:val="right"/>
              <w:rPr>
                <w:rFonts w:ascii="Calibri" w:eastAsia="Times New Roman" w:hAnsi="Calibri" w:cs="Times New Roman"/>
                <w:color w:val="0C0C0C"/>
                <w:szCs w:val="22"/>
                <w:lang w:eastAsia="cs-CZ"/>
              </w:rPr>
            </w:pPr>
            <w:r w:rsidRPr="008D055E">
              <w:rPr>
                <w:rFonts w:ascii="Calibri" w:eastAsia="Times New Roman" w:hAnsi="Calibri" w:cs="Times New Roman"/>
                <w:color w:val="0C0C0C"/>
                <w:szCs w:val="22"/>
                <w:lang w:eastAsia="cs-CZ"/>
              </w:rPr>
              <w:t>20%</w:t>
            </w:r>
          </w:p>
        </w:tc>
      </w:tr>
      <w:tr w:rsidR="000F5B6F" w:rsidRPr="00341B5E" w:rsidTr="00455808">
        <w:trPr>
          <w:trHeight w:val="300"/>
        </w:trPr>
        <w:tc>
          <w:tcPr>
            <w:tcW w:w="305" w:type="dxa"/>
            <w:shd w:val="clear" w:color="auto" w:fill="auto"/>
            <w:noWrap/>
            <w:vAlign w:val="center"/>
            <w:hideMark/>
          </w:tcPr>
          <w:p w:rsidR="000F5B6F" w:rsidRPr="00341B5E" w:rsidRDefault="000F5B6F" w:rsidP="00970C05">
            <w:pPr>
              <w:spacing w:before="0" w:after="0" w:line="240" w:lineRule="auto"/>
              <w:jc w:val="right"/>
              <w:rPr>
                <w:rFonts w:ascii="Wingdings" w:eastAsia="Times New Roman" w:hAnsi="Wingdings" w:cs="Times New Roman"/>
                <w:color w:val="80D6FF"/>
                <w:szCs w:val="22"/>
                <w:lang w:eastAsia="cs-CZ"/>
              </w:rPr>
            </w:pPr>
            <w:r w:rsidRPr="00341B5E">
              <w:rPr>
                <w:rFonts w:ascii="Wingdings" w:eastAsia="Times New Roman" w:hAnsi="Wingdings" w:cs="Times New Roman"/>
                <w:color w:val="80D6FF"/>
                <w:szCs w:val="22"/>
                <w:lang w:eastAsia="cs-CZ"/>
              </w:rPr>
              <w:t></w:t>
            </w:r>
          </w:p>
        </w:tc>
        <w:tc>
          <w:tcPr>
            <w:tcW w:w="4530" w:type="dxa"/>
            <w:shd w:val="clear" w:color="auto" w:fill="auto"/>
            <w:noWrap/>
            <w:vAlign w:val="center"/>
            <w:hideMark/>
          </w:tcPr>
          <w:p w:rsidR="000F5B6F" w:rsidRPr="00341B5E" w:rsidRDefault="000F5B6F" w:rsidP="00970C05">
            <w:pPr>
              <w:spacing w:before="0"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Další</w:t>
            </w:r>
            <w:r w:rsidRPr="00341B5E">
              <w:rPr>
                <w:rFonts w:ascii="Calibri" w:eastAsia="Times New Roman" w:hAnsi="Calibri" w:cs="Times New Roman"/>
                <w:b/>
                <w:bCs/>
                <w:lang w:eastAsia="cs-CZ"/>
              </w:rPr>
              <w:t xml:space="preserve"> komodity </w:t>
            </w:r>
            <w:r>
              <w:rPr>
                <w:rFonts w:ascii="Calibri" w:eastAsia="Times New Roman" w:hAnsi="Calibri" w:cs="Times New Roman"/>
                <w:b/>
                <w:bCs/>
                <w:lang w:eastAsia="cs-CZ"/>
              </w:rPr>
              <w:t>pro centrální nákup – širší pojetí</w:t>
            </w:r>
            <w:r w:rsidR="00117873">
              <w:rPr>
                <w:rStyle w:val="Znakapoznpodarou"/>
                <w:rFonts w:ascii="Calibri" w:eastAsia="Times New Roman" w:hAnsi="Calibri" w:cs="Times New Roman"/>
                <w:b/>
                <w:bCs/>
                <w:lang w:eastAsia="cs-CZ"/>
              </w:rPr>
              <w:footnoteReference w:id="3"/>
            </w:r>
          </w:p>
        </w:tc>
        <w:tc>
          <w:tcPr>
            <w:tcW w:w="1172" w:type="dxa"/>
            <w:shd w:val="clear" w:color="auto" w:fill="auto"/>
            <w:noWrap/>
            <w:vAlign w:val="center"/>
            <w:hideMark/>
          </w:tcPr>
          <w:p w:rsidR="000F5B6F" w:rsidRPr="00341B5E" w:rsidRDefault="000F5B6F" w:rsidP="00970C05">
            <w:pPr>
              <w:spacing w:before="0" w:after="0" w:line="240" w:lineRule="auto"/>
              <w:jc w:val="right"/>
              <w:rPr>
                <w:rFonts w:ascii="Calibri" w:eastAsia="Times New Roman" w:hAnsi="Calibri" w:cs="Times New Roman"/>
                <w:lang w:eastAsia="cs-CZ"/>
              </w:rPr>
            </w:pPr>
            <w:r w:rsidRPr="00341B5E">
              <w:rPr>
                <w:rFonts w:ascii="Calibri" w:eastAsia="Times New Roman" w:hAnsi="Calibri" w:cs="Times New Roman"/>
                <w:lang w:eastAsia="cs-CZ"/>
              </w:rPr>
              <w:t>1 854 mil. Kč</w:t>
            </w:r>
          </w:p>
        </w:tc>
        <w:tc>
          <w:tcPr>
            <w:tcW w:w="813" w:type="dxa"/>
            <w:shd w:val="clear" w:color="auto" w:fill="auto"/>
            <w:noWrap/>
            <w:vAlign w:val="center"/>
            <w:hideMark/>
          </w:tcPr>
          <w:p w:rsidR="000F5B6F" w:rsidRPr="008D055E" w:rsidRDefault="000F5B6F" w:rsidP="008D055E">
            <w:pPr>
              <w:spacing w:before="0" w:after="0" w:line="240" w:lineRule="auto"/>
              <w:jc w:val="right"/>
              <w:rPr>
                <w:rFonts w:ascii="Calibri" w:eastAsia="Times New Roman" w:hAnsi="Calibri" w:cs="Times New Roman"/>
                <w:color w:val="0C0C0C"/>
                <w:szCs w:val="22"/>
                <w:lang w:eastAsia="cs-CZ"/>
              </w:rPr>
            </w:pPr>
            <w:r w:rsidRPr="008D055E">
              <w:rPr>
                <w:rFonts w:ascii="Calibri" w:eastAsia="Times New Roman" w:hAnsi="Calibri" w:cs="Times New Roman"/>
                <w:color w:val="0C0C0C"/>
                <w:szCs w:val="22"/>
                <w:lang w:eastAsia="cs-CZ"/>
              </w:rPr>
              <w:t>9%</w:t>
            </w:r>
          </w:p>
        </w:tc>
      </w:tr>
      <w:tr w:rsidR="000F5B6F" w:rsidRPr="00341B5E" w:rsidTr="00455808">
        <w:trPr>
          <w:trHeight w:val="300"/>
        </w:trPr>
        <w:tc>
          <w:tcPr>
            <w:tcW w:w="305" w:type="dxa"/>
            <w:shd w:val="clear" w:color="auto" w:fill="auto"/>
            <w:noWrap/>
            <w:vAlign w:val="center"/>
            <w:hideMark/>
          </w:tcPr>
          <w:p w:rsidR="000F5B6F" w:rsidRPr="00341B5E" w:rsidRDefault="000F5B6F" w:rsidP="00970C05">
            <w:pPr>
              <w:spacing w:before="0" w:after="0" w:line="240" w:lineRule="auto"/>
              <w:jc w:val="right"/>
              <w:rPr>
                <w:rFonts w:ascii="Wingdings" w:eastAsia="Times New Roman" w:hAnsi="Wingdings" w:cs="Times New Roman"/>
                <w:color w:val="A6A6A6"/>
                <w:szCs w:val="22"/>
                <w:lang w:eastAsia="cs-CZ"/>
              </w:rPr>
            </w:pPr>
            <w:r w:rsidRPr="00341B5E">
              <w:rPr>
                <w:rFonts w:ascii="Wingdings" w:eastAsia="Times New Roman" w:hAnsi="Wingdings" w:cs="Times New Roman"/>
                <w:color w:val="A6A6A6"/>
                <w:szCs w:val="22"/>
                <w:lang w:eastAsia="cs-CZ"/>
              </w:rPr>
              <w:t></w:t>
            </w:r>
          </w:p>
        </w:tc>
        <w:tc>
          <w:tcPr>
            <w:tcW w:w="4530" w:type="dxa"/>
            <w:shd w:val="clear" w:color="auto" w:fill="auto"/>
            <w:noWrap/>
            <w:vAlign w:val="center"/>
            <w:hideMark/>
          </w:tcPr>
          <w:p w:rsidR="000F5B6F" w:rsidRPr="00341B5E" w:rsidRDefault="000F5B6F" w:rsidP="00970C05">
            <w:pPr>
              <w:spacing w:before="0" w:after="0" w:line="240" w:lineRule="auto"/>
              <w:jc w:val="left"/>
              <w:rPr>
                <w:rFonts w:ascii="Calibri" w:eastAsia="Times New Roman" w:hAnsi="Calibri" w:cs="Times New Roman"/>
                <w:b/>
                <w:bCs/>
                <w:lang w:eastAsia="cs-CZ"/>
              </w:rPr>
            </w:pPr>
            <w:r w:rsidRPr="00341B5E">
              <w:rPr>
                <w:rFonts w:ascii="Calibri" w:eastAsia="Times New Roman" w:hAnsi="Calibri" w:cs="Times New Roman"/>
                <w:b/>
                <w:bCs/>
                <w:lang w:eastAsia="cs-CZ"/>
              </w:rPr>
              <w:t>Stavby</w:t>
            </w:r>
          </w:p>
        </w:tc>
        <w:tc>
          <w:tcPr>
            <w:tcW w:w="1172" w:type="dxa"/>
            <w:shd w:val="clear" w:color="auto" w:fill="auto"/>
            <w:noWrap/>
            <w:vAlign w:val="center"/>
            <w:hideMark/>
          </w:tcPr>
          <w:p w:rsidR="000F5B6F" w:rsidRPr="00341B5E" w:rsidRDefault="000F5B6F" w:rsidP="00970C05">
            <w:pPr>
              <w:spacing w:before="0" w:after="0" w:line="240" w:lineRule="auto"/>
              <w:jc w:val="right"/>
              <w:rPr>
                <w:rFonts w:ascii="Calibri" w:eastAsia="Times New Roman" w:hAnsi="Calibri" w:cs="Times New Roman"/>
                <w:lang w:eastAsia="cs-CZ"/>
              </w:rPr>
            </w:pPr>
            <w:r w:rsidRPr="00341B5E">
              <w:rPr>
                <w:rFonts w:ascii="Calibri" w:eastAsia="Times New Roman" w:hAnsi="Calibri" w:cs="Times New Roman"/>
                <w:lang w:eastAsia="cs-CZ"/>
              </w:rPr>
              <w:t>5 740 mil. Kč</w:t>
            </w:r>
          </w:p>
        </w:tc>
        <w:tc>
          <w:tcPr>
            <w:tcW w:w="813" w:type="dxa"/>
            <w:shd w:val="clear" w:color="auto" w:fill="auto"/>
            <w:noWrap/>
            <w:vAlign w:val="center"/>
            <w:hideMark/>
          </w:tcPr>
          <w:p w:rsidR="000F5B6F" w:rsidRPr="008D055E" w:rsidRDefault="000F5B6F" w:rsidP="008D055E">
            <w:pPr>
              <w:spacing w:before="0" w:after="0" w:line="240" w:lineRule="auto"/>
              <w:jc w:val="right"/>
              <w:rPr>
                <w:rFonts w:ascii="Calibri" w:eastAsia="Times New Roman" w:hAnsi="Calibri" w:cs="Times New Roman"/>
                <w:color w:val="0C0C0C"/>
                <w:szCs w:val="22"/>
                <w:lang w:eastAsia="cs-CZ"/>
              </w:rPr>
            </w:pPr>
            <w:r w:rsidRPr="008D055E">
              <w:rPr>
                <w:rFonts w:ascii="Calibri" w:eastAsia="Times New Roman" w:hAnsi="Calibri" w:cs="Times New Roman"/>
                <w:color w:val="0C0C0C"/>
                <w:szCs w:val="22"/>
                <w:lang w:eastAsia="cs-CZ"/>
              </w:rPr>
              <w:t>28%</w:t>
            </w:r>
          </w:p>
        </w:tc>
      </w:tr>
      <w:tr w:rsidR="000F5B6F" w:rsidRPr="00341B5E" w:rsidTr="00455808">
        <w:trPr>
          <w:trHeight w:val="300"/>
        </w:trPr>
        <w:tc>
          <w:tcPr>
            <w:tcW w:w="305" w:type="dxa"/>
            <w:shd w:val="clear" w:color="auto" w:fill="auto"/>
            <w:noWrap/>
            <w:vAlign w:val="center"/>
            <w:hideMark/>
          </w:tcPr>
          <w:p w:rsidR="000F5B6F" w:rsidRPr="00341B5E" w:rsidRDefault="000F5B6F" w:rsidP="00970C05">
            <w:pPr>
              <w:spacing w:before="0" w:after="0" w:line="240" w:lineRule="auto"/>
              <w:jc w:val="right"/>
              <w:rPr>
                <w:rFonts w:ascii="Wingdings" w:eastAsia="Times New Roman" w:hAnsi="Wingdings" w:cs="Times New Roman"/>
                <w:color w:val="BFBFBF"/>
                <w:szCs w:val="22"/>
                <w:lang w:eastAsia="cs-CZ"/>
              </w:rPr>
            </w:pPr>
            <w:r w:rsidRPr="00341B5E">
              <w:rPr>
                <w:rFonts w:ascii="Wingdings" w:eastAsia="Times New Roman" w:hAnsi="Wingdings" w:cs="Times New Roman"/>
                <w:color w:val="BFBFBF"/>
                <w:szCs w:val="22"/>
                <w:lang w:eastAsia="cs-CZ"/>
              </w:rPr>
              <w:t></w:t>
            </w:r>
          </w:p>
        </w:tc>
        <w:tc>
          <w:tcPr>
            <w:tcW w:w="4530" w:type="dxa"/>
            <w:shd w:val="clear" w:color="auto" w:fill="auto"/>
            <w:noWrap/>
            <w:vAlign w:val="center"/>
            <w:hideMark/>
          </w:tcPr>
          <w:p w:rsidR="000F5B6F" w:rsidRPr="00341B5E" w:rsidRDefault="000F5B6F" w:rsidP="00970C05">
            <w:pPr>
              <w:spacing w:before="0" w:after="0" w:line="240" w:lineRule="auto"/>
              <w:jc w:val="left"/>
              <w:rPr>
                <w:rFonts w:ascii="Calibri" w:eastAsia="Times New Roman" w:hAnsi="Calibri" w:cs="Times New Roman"/>
                <w:b/>
                <w:bCs/>
                <w:lang w:eastAsia="cs-CZ"/>
              </w:rPr>
            </w:pPr>
            <w:r w:rsidRPr="00341B5E">
              <w:rPr>
                <w:rFonts w:ascii="Calibri" w:eastAsia="Times New Roman" w:hAnsi="Calibri" w:cs="Times New Roman"/>
                <w:b/>
                <w:bCs/>
                <w:lang w:eastAsia="cs-CZ"/>
              </w:rPr>
              <w:t>Dodávky informačních systémů</w:t>
            </w:r>
          </w:p>
        </w:tc>
        <w:tc>
          <w:tcPr>
            <w:tcW w:w="1172" w:type="dxa"/>
            <w:shd w:val="clear" w:color="auto" w:fill="auto"/>
            <w:noWrap/>
            <w:vAlign w:val="center"/>
            <w:hideMark/>
          </w:tcPr>
          <w:p w:rsidR="000F5B6F" w:rsidRPr="00341B5E" w:rsidRDefault="000F5B6F" w:rsidP="00970C05">
            <w:pPr>
              <w:spacing w:before="0" w:after="0" w:line="240" w:lineRule="auto"/>
              <w:jc w:val="right"/>
              <w:rPr>
                <w:rFonts w:ascii="Calibri" w:eastAsia="Times New Roman" w:hAnsi="Calibri" w:cs="Times New Roman"/>
                <w:lang w:eastAsia="cs-CZ"/>
              </w:rPr>
            </w:pPr>
            <w:r w:rsidRPr="00341B5E">
              <w:rPr>
                <w:rFonts w:ascii="Calibri" w:eastAsia="Times New Roman" w:hAnsi="Calibri" w:cs="Times New Roman"/>
                <w:lang w:eastAsia="cs-CZ"/>
              </w:rPr>
              <w:t>2 079 mil. Kč</w:t>
            </w:r>
          </w:p>
        </w:tc>
        <w:tc>
          <w:tcPr>
            <w:tcW w:w="813" w:type="dxa"/>
            <w:shd w:val="clear" w:color="auto" w:fill="auto"/>
            <w:noWrap/>
            <w:vAlign w:val="center"/>
            <w:hideMark/>
          </w:tcPr>
          <w:p w:rsidR="000F5B6F" w:rsidRPr="008D055E" w:rsidRDefault="000F5B6F" w:rsidP="008D055E">
            <w:pPr>
              <w:spacing w:before="0" w:after="0" w:line="240" w:lineRule="auto"/>
              <w:jc w:val="right"/>
              <w:rPr>
                <w:rFonts w:ascii="Calibri" w:eastAsia="Times New Roman" w:hAnsi="Calibri" w:cs="Times New Roman"/>
                <w:color w:val="0C0C0C"/>
                <w:szCs w:val="22"/>
                <w:lang w:eastAsia="cs-CZ"/>
              </w:rPr>
            </w:pPr>
            <w:r w:rsidRPr="008D055E">
              <w:rPr>
                <w:rFonts w:ascii="Calibri" w:eastAsia="Times New Roman" w:hAnsi="Calibri" w:cs="Times New Roman"/>
                <w:color w:val="0C0C0C"/>
                <w:szCs w:val="22"/>
                <w:lang w:eastAsia="cs-CZ"/>
              </w:rPr>
              <w:t>10%</w:t>
            </w:r>
          </w:p>
        </w:tc>
      </w:tr>
      <w:tr w:rsidR="000F5B6F" w:rsidRPr="00341B5E" w:rsidTr="00455808">
        <w:trPr>
          <w:trHeight w:val="300"/>
        </w:trPr>
        <w:tc>
          <w:tcPr>
            <w:tcW w:w="305" w:type="dxa"/>
            <w:shd w:val="clear" w:color="auto" w:fill="auto"/>
            <w:noWrap/>
            <w:vAlign w:val="center"/>
            <w:hideMark/>
          </w:tcPr>
          <w:p w:rsidR="000F5B6F" w:rsidRPr="00341B5E" w:rsidRDefault="000F5B6F" w:rsidP="00970C05">
            <w:pPr>
              <w:spacing w:before="0" w:after="0" w:line="240" w:lineRule="auto"/>
              <w:jc w:val="right"/>
              <w:rPr>
                <w:rFonts w:ascii="Wingdings" w:eastAsia="Times New Roman" w:hAnsi="Wingdings" w:cs="Times New Roman"/>
                <w:color w:val="D9D9D9"/>
                <w:szCs w:val="22"/>
                <w:lang w:eastAsia="cs-CZ"/>
              </w:rPr>
            </w:pPr>
            <w:r w:rsidRPr="00341B5E">
              <w:rPr>
                <w:rFonts w:ascii="Wingdings" w:eastAsia="Times New Roman" w:hAnsi="Wingdings" w:cs="Times New Roman"/>
                <w:color w:val="D9D9D9"/>
                <w:szCs w:val="22"/>
                <w:lang w:eastAsia="cs-CZ"/>
              </w:rPr>
              <w:t></w:t>
            </w:r>
          </w:p>
        </w:tc>
        <w:tc>
          <w:tcPr>
            <w:tcW w:w="4530" w:type="dxa"/>
            <w:shd w:val="clear" w:color="auto" w:fill="auto"/>
            <w:noWrap/>
            <w:vAlign w:val="center"/>
            <w:hideMark/>
          </w:tcPr>
          <w:p w:rsidR="000F5B6F" w:rsidRPr="00341B5E" w:rsidRDefault="000F5B6F" w:rsidP="00970C05">
            <w:pPr>
              <w:spacing w:before="0" w:after="0" w:line="240" w:lineRule="auto"/>
              <w:jc w:val="left"/>
              <w:rPr>
                <w:rFonts w:ascii="Calibri" w:eastAsia="Times New Roman" w:hAnsi="Calibri" w:cs="Times New Roman"/>
                <w:b/>
                <w:bCs/>
                <w:lang w:eastAsia="cs-CZ"/>
              </w:rPr>
            </w:pPr>
            <w:r w:rsidRPr="00341B5E">
              <w:rPr>
                <w:rFonts w:ascii="Calibri" w:eastAsia="Times New Roman" w:hAnsi="Calibri" w:cs="Times New Roman"/>
                <w:b/>
                <w:bCs/>
                <w:lang w:eastAsia="cs-CZ"/>
              </w:rPr>
              <w:t>Ostatní komodity</w:t>
            </w:r>
          </w:p>
        </w:tc>
        <w:tc>
          <w:tcPr>
            <w:tcW w:w="1172" w:type="dxa"/>
            <w:shd w:val="clear" w:color="auto" w:fill="auto"/>
            <w:noWrap/>
            <w:vAlign w:val="center"/>
            <w:hideMark/>
          </w:tcPr>
          <w:p w:rsidR="000F5B6F" w:rsidRPr="00341B5E" w:rsidRDefault="000F5B6F" w:rsidP="00970C05">
            <w:pPr>
              <w:spacing w:before="0" w:after="0" w:line="240" w:lineRule="auto"/>
              <w:jc w:val="right"/>
              <w:rPr>
                <w:rFonts w:ascii="Calibri" w:eastAsia="Times New Roman" w:hAnsi="Calibri" w:cs="Times New Roman"/>
                <w:lang w:eastAsia="cs-CZ"/>
              </w:rPr>
            </w:pPr>
            <w:r w:rsidRPr="00341B5E">
              <w:rPr>
                <w:rFonts w:ascii="Calibri" w:eastAsia="Times New Roman" w:hAnsi="Calibri" w:cs="Times New Roman"/>
                <w:lang w:eastAsia="cs-CZ"/>
              </w:rPr>
              <w:t>6 904 mil. Kč</w:t>
            </w:r>
          </w:p>
        </w:tc>
        <w:tc>
          <w:tcPr>
            <w:tcW w:w="813" w:type="dxa"/>
            <w:shd w:val="clear" w:color="auto" w:fill="auto"/>
            <w:noWrap/>
            <w:vAlign w:val="center"/>
            <w:hideMark/>
          </w:tcPr>
          <w:p w:rsidR="000F5B6F" w:rsidRPr="008D055E" w:rsidRDefault="000F5B6F" w:rsidP="008D055E">
            <w:pPr>
              <w:spacing w:before="0" w:after="0" w:line="240" w:lineRule="auto"/>
              <w:jc w:val="right"/>
              <w:rPr>
                <w:rFonts w:ascii="Calibri" w:eastAsia="Times New Roman" w:hAnsi="Calibri" w:cs="Times New Roman"/>
                <w:color w:val="0C0C0C"/>
                <w:szCs w:val="22"/>
                <w:lang w:eastAsia="cs-CZ"/>
              </w:rPr>
            </w:pPr>
            <w:r w:rsidRPr="008D055E">
              <w:rPr>
                <w:rFonts w:ascii="Calibri" w:eastAsia="Times New Roman" w:hAnsi="Calibri" w:cs="Times New Roman"/>
                <w:color w:val="0C0C0C"/>
                <w:szCs w:val="22"/>
                <w:lang w:eastAsia="cs-CZ"/>
              </w:rPr>
              <w:t>33%</w:t>
            </w:r>
          </w:p>
        </w:tc>
      </w:tr>
    </w:tbl>
    <w:p w:rsidR="000F5B6F" w:rsidRDefault="000F5B6F" w:rsidP="008D055E">
      <w:pPr>
        <w:pStyle w:val="Titulek"/>
      </w:pPr>
      <w:r>
        <w:t xml:space="preserve">Tabulka </w:t>
      </w:r>
      <w:r w:rsidR="00297831">
        <w:fldChar w:fldCharType="begin"/>
      </w:r>
      <w:r w:rsidR="00297831">
        <w:instrText xml:space="preserve"> SEQ Tabulka \* ARABIC </w:instrText>
      </w:r>
      <w:r w:rsidR="00297831">
        <w:fldChar w:fldCharType="separate"/>
      </w:r>
      <w:r w:rsidR="00297831">
        <w:rPr>
          <w:noProof/>
        </w:rPr>
        <w:t>1</w:t>
      </w:r>
      <w:r w:rsidR="00297831">
        <w:rPr>
          <w:noProof/>
        </w:rPr>
        <w:fldChar w:fldCharType="end"/>
      </w:r>
      <w:r>
        <w:t xml:space="preserve"> - Struktura výdajů resortů (vzorek 6 </w:t>
      </w:r>
      <w:r w:rsidRPr="008D055E">
        <w:t>resortů</w:t>
      </w:r>
      <w:r>
        <w:t>)</w:t>
      </w:r>
    </w:p>
    <w:p w:rsidR="000F5B6F" w:rsidRDefault="000F5B6F" w:rsidP="000F5B6F">
      <w:pPr>
        <w:rPr>
          <w:noProof/>
          <w:lang w:eastAsia="cs-CZ"/>
        </w:rPr>
      </w:pPr>
      <w:r w:rsidRPr="001A34F6">
        <w:rPr>
          <w:noProof/>
          <w:lang w:eastAsia="cs-CZ"/>
        </w:rPr>
        <w:t>Komoditní kategorie, které lze na základě jejich poměrně snadné standardizovatelnosti a zkušeností ze zahraničí považovat za vhodné pro centrální nákup, se na celkových nákupních výda</w:t>
      </w:r>
      <w:r w:rsidR="00DA41E5">
        <w:rPr>
          <w:noProof/>
          <w:lang w:eastAsia="cs-CZ"/>
        </w:rPr>
        <w:softHyphen/>
      </w:r>
      <w:r w:rsidRPr="001A34F6">
        <w:rPr>
          <w:noProof/>
          <w:lang w:eastAsia="cs-CZ"/>
        </w:rPr>
        <w:t>jích podílejí 20 % (užší pojetí), resp. 29 % (širší pojetí).</w:t>
      </w:r>
    </w:p>
    <w:p w:rsidR="00D34A5F" w:rsidRPr="001A34F6" w:rsidRDefault="00D34A5F" w:rsidP="00AC4617">
      <w:pPr>
        <w:pStyle w:val="Nadpis2"/>
      </w:pPr>
      <w:bookmarkStart w:id="2" w:name="_Ref411429857"/>
      <w:bookmarkStart w:id="3" w:name="_Toc411438720"/>
      <w:r>
        <w:t>Komodity vhodné pro centrální nákup</w:t>
      </w:r>
      <w:bookmarkEnd w:id="2"/>
      <w:bookmarkEnd w:id="3"/>
    </w:p>
    <w:p w:rsidR="000F5B6F" w:rsidRDefault="000F5B6F" w:rsidP="00B60B65">
      <w:pPr>
        <w:spacing w:after="240"/>
        <w:rPr>
          <w:lang w:eastAsia="cs-CZ"/>
        </w:rPr>
      </w:pPr>
      <w:r>
        <w:rPr>
          <w:lang w:eastAsia="cs-CZ"/>
        </w:rPr>
        <w:t xml:space="preserve">Při bližším členění </w:t>
      </w:r>
      <w:r w:rsidR="00AF41F3">
        <w:rPr>
          <w:lang w:eastAsia="cs-CZ"/>
        </w:rPr>
        <w:t>těchto</w:t>
      </w:r>
      <w:r>
        <w:rPr>
          <w:lang w:eastAsia="cs-CZ"/>
        </w:rPr>
        <w:t xml:space="preserve"> komodit tvoří největší podíl na finančním objemu komodit vhodných pro centrální nákup energie a správa budov (34 %), právní, poradenské a marke</w:t>
      </w:r>
      <w:r w:rsidR="00DA41E5">
        <w:rPr>
          <w:lang w:eastAsia="cs-CZ"/>
        </w:rPr>
        <w:softHyphen/>
      </w:r>
      <w:r>
        <w:rPr>
          <w:lang w:eastAsia="cs-CZ"/>
        </w:rPr>
        <w:t>tingové služby (</w:t>
      </w:r>
      <w:r w:rsidR="008B3062">
        <w:rPr>
          <w:lang w:eastAsia="cs-CZ"/>
        </w:rPr>
        <w:t>3</w:t>
      </w:r>
      <w:r>
        <w:rPr>
          <w:lang w:eastAsia="cs-CZ"/>
        </w:rPr>
        <w:t>0 %), doprava a ubytování (11 %) a ICT komodity (9%). Menší část pak tvoří</w:t>
      </w:r>
      <w:r w:rsidRPr="0092134D">
        <w:rPr>
          <w:lang w:eastAsia="cs-CZ"/>
        </w:rPr>
        <w:t xml:space="preserve"> </w:t>
      </w:r>
      <w:r>
        <w:rPr>
          <w:lang w:eastAsia="cs-CZ"/>
        </w:rPr>
        <w:t>nákup a provoz vozového parku a</w:t>
      </w:r>
      <w:r w:rsidR="006A4EF0">
        <w:rPr>
          <w:lang w:eastAsia="cs-CZ"/>
        </w:rPr>
        <w:t> </w:t>
      </w:r>
      <w:r>
        <w:rPr>
          <w:lang w:eastAsia="cs-CZ"/>
        </w:rPr>
        <w:t>pohonné hmoty, kancelářské potřeby a technika a náklady na školení a vzdělávání.</w:t>
      </w:r>
    </w:p>
    <w:tbl>
      <w:tblPr>
        <w:tblW w:w="6732" w:type="dxa"/>
        <w:tblInd w:w="55" w:type="dxa"/>
        <w:tblBorders>
          <w:top w:val="single" w:sz="4" w:space="0" w:color="2DB9FF" w:themeColor="accent2"/>
          <w:bottom w:val="single" w:sz="4" w:space="0" w:color="2DB9FF" w:themeColor="accent2"/>
        </w:tblBorders>
        <w:tblCellMar>
          <w:left w:w="70" w:type="dxa"/>
          <w:right w:w="70" w:type="dxa"/>
        </w:tblCellMar>
        <w:tblLook w:val="04A0" w:firstRow="1" w:lastRow="0" w:firstColumn="1" w:lastColumn="0" w:noHBand="0" w:noVBand="1"/>
      </w:tblPr>
      <w:tblGrid>
        <w:gridCol w:w="380"/>
        <w:gridCol w:w="4030"/>
        <w:gridCol w:w="1362"/>
        <w:gridCol w:w="960"/>
      </w:tblGrid>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093D93"/>
                <w:szCs w:val="22"/>
                <w:lang w:eastAsia="cs-CZ"/>
              </w:rPr>
            </w:pPr>
            <w:r w:rsidRPr="001825DF">
              <w:rPr>
                <w:rFonts w:ascii="Wingdings" w:eastAsia="Times New Roman" w:hAnsi="Wingdings" w:cs="Times New Roman"/>
                <w:color w:val="093D93"/>
                <w:szCs w:val="22"/>
                <w:lang w:eastAsia="cs-CZ"/>
              </w:rPr>
              <w:lastRenderedPageBreak/>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Energie a správa budov</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2 022 mil. Kč</w:t>
            </w:r>
          </w:p>
        </w:tc>
        <w:tc>
          <w:tcPr>
            <w:tcW w:w="960" w:type="dxa"/>
            <w:shd w:val="clear" w:color="auto" w:fill="auto"/>
            <w:noWrap/>
            <w:vAlign w:val="center"/>
            <w:hideMark/>
          </w:tcPr>
          <w:p w:rsidR="000F5B6F" w:rsidRPr="008D055E" w:rsidRDefault="008D055E"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noProof/>
                <w:lang w:eastAsia="cs-CZ"/>
              </w:rPr>
              <w:drawing>
                <wp:anchor distT="0" distB="0" distL="114300" distR="114300" simplePos="0" relativeHeight="251660288" behindDoc="0" locked="0" layoutInCell="1" allowOverlap="1" wp14:anchorId="4A29C1AE" wp14:editId="3EF81357">
                  <wp:simplePos x="0" y="0"/>
                  <wp:positionH relativeFrom="column">
                    <wp:posOffset>630555</wp:posOffset>
                  </wp:positionH>
                  <wp:positionV relativeFrom="paragraph">
                    <wp:posOffset>0</wp:posOffset>
                  </wp:positionV>
                  <wp:extent cx="1638300" cy="1285875"/>
                  <wp:effectExtent l="0" t="0" r="0" b="0"/>
                  <wp:wrapNone/>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0F5B6F" w:rsidRPr="008D055E">
              <w:rPr>
                <w:rFonts w:ascii="Calibri" w:eastAsia="Times New Roman" w:hAnsi="Calibri" w:cs="Times New Roman"/>
                <w:lang w:eastAsia="cs-CZ"/>
              </w:rPr>
              <w:t>34%</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2DB9FF"/>
                <w:szCs w:val="22"/>
                <w:lang w:eastAsia="cs-CZ"/>
              </w:rPr>
            </w:pPr>
            <w:r w:rsidRPr="001825DF">
              <w:rPr>
                <w:rFonts w:ascii="Wingdings" w:eastAsia="Times New Roman" w:hAnsi="Wingdings" w:cs="Times New Roman"/>
                <w:color w:val="2DB9FF"/>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Právní a poradenské služby</w:t>
            </w:r>
            <w:r w:rsidR="00B52FD3">
              <w:rPr>
                <w:rFonts w:ascii="Calibri" w:eastAsia="Times New Roman" w:hAnsi="Calibri" w:cs="Times New Roman"/>
                <w:b/>
                <w:bCs/>
                <w:lang w:eastAsia="cs-CZ"/>
              </w:rPr>
              <w:t xml:space="preserve"> (širší pojetí)</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1 770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30%</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FFF13F"/>
                <w:szCs w:val="22"/>
                <w:lang w:eastAsia="cs-CZ"/>
              </w:rPr>
            </w:pPr>
            <w:r w:rsidRPr="001825DF">
              <w:rPr>
                <w:rFonts w:ascii="Wingdings" w:eastAsia="Times New Roman" w:hAnsi="Wingdings" w:cs="Times New Roman"/>
                <w:color w:val="FFF13F"/>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Doprava a ubytování</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647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11%</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FE8F3C"/>
                <w:szCs w:val="22"/>
                <w:lang w:eastAsia="cs-CZ"/>
              </w:rPr>
            </w:pPr>
            <w:r w:rsidRPr="001825DF">
              <w:rPr>
                <w:rFonts w:ascii="Wingdings" w:eastAsia="Times New Roman" w:hAnsi="Wingdings" w:cs="Times New Roman"/>
                <w:color w:val="FE8F3C"/>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ICT komodity</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535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9%</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C00000"/>
                <w:szCs w:val="22"/>
                <w:lang w:eastAsia="cs-CZ"/>
              </w:rPr>
            </w:pPr>
            <w:r w:rsidRPr="001825DF">
              <w:rPr>
                <w:rFonts w:ascii="Wingdings" w:eastAsia="Times New Roman" w:hAnsi="Wingdings" w:cs="Times New Roman"/>
                <w:color w:val="C00000"/>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Vozový park a pohonné hmoty</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452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8%</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66A22A"/>
                <w:szCs w:val="22"/>
                <w:lang w:eastAsia="cs-CZ"/>
              </w:rPr>
            </w:pPr>
            <w:r w:rsidRPr="001825DF">
              <w:rPr>
                <w:rFonts w:ascii="Wingdings" w:eastAsia="Times New Roman" w:hAnsi="Wingdings" w:cs="Times New Roman"/>
                <w:color w:val="66A22A"/>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Kancelářské potřeby, kancelářská technika</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446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7%</w:t>
            </w:r>
          </w:p>
        </w:tc>
      </w:tr>
      <w:tr w:rsidR="000F5B6F" w:rsidRPr="001825DF" w:rsidTr="00455808">
        <w:trPr>
          <w:trHeight w:val="300"/>
        </w:trPr>
        <w:tc>
          <w:tcPr>
            <w:tcW w:w="380" w:type="dxa"/>
            <w:shd w:val="clear" w:color="auto" w:fill="auto"/>
            <w:noWrap/>
            <w:vAlign w:val="center"/>
            <w:hideMark/>
          </w:tcPr>
          <w:p w:rsidR="000F5B6F" w:rsidRPr="001825DF" w:rsidRDefault="000F5B6F" w:rsidP="00B52FD3">
            <w:pPr>
              <w:keepNext/>
              <w:spacing w:before="0" w:after="0" w:line="240" w:lineRule="auto"/>
              <w:jc w:val="center"/>
              <w:rPr>
                <w:rFonts w:ascii="Wingdings" w:eastAsia="Times New Roman" w:hAnsi="Wingdings" w:cs="Times New Roman"/>
                <w:color w:val="79A8F7"/>
                <w:szCs w:val="22"/>
                <w:lang w:eastAsia="cs-CZ"/>
              </w:rPr>
            </w:pPr>
            <w:r w:rsidRPr="001825DF">
              <w:rPr>
                <w:rFonts w:ascii="Wingdings" w:eastAsia="Times New Roman" w:hAnsi="Wingdings" w:cs="Times New Roman"/>
                <w:color w:val="79A8F7"/>
                <w:szCs w:val="22"/>
                <w:lang w:eastAsia="cs-CZ"/>
              </w:rPr>
              <w:t></w:t>
            </w:r>
          </w:p>
        </w:tc>
        <w:tc>
          <w:tcPr>
            <w:tcW w:w="4030" w:type="dxa"/>
            <w:shd w:val="clear" w:color="auto" w:fill="auto"/>
            <w:noWrap/>
            <w:vAlign w:val="center"/>
            <w:hideMark/>
          </w:tcPr>
          <w:p w:rsidR="000F5B6F" w:rsidRPr="001825DF" w:rsidRDefault="000F5B6F" w:rsidP="00B52FD3">
            <w:pPr>
              <w:keepNext/>
              <w:spacing w:before="0" w:after="0" w:line="240" w:lineRule="auto"/>
              <w:jc w:val="left"/>
              <w:rPr>
                <w:rFonts w:ascii="Calibri" w:eastAsia="Times New Roman" w:hAnsi="Calibri" w:cs="Times New Roman"/>
                <w:b/>
                <w:bCs/>
                <w:lang w:eastAsia="cs-CZ"/>
              </w:rPr>
            </w:pPr>
            <w:r w:rsidRPr="001825DF">
              <w:rPr>
                <w:rFonts w:ascii="Calibri" w:eastAsia="Times New Roman" w:hAnsi="Calibri" w:cs="Times New Roman"/>
                <w:b/>
                <w:bCs/>
                <w:lang w:eastAsia="cs-CZ"/>
              </w:rPr>
              <w:t>Vzdělávání a školení</w:t>
            </w:r>
            <w:r w:rsidR="00B52FD3">
              <w:rPr>
                <w:rFonts w:ascii="Calibri" w:eastAsia="Times New Roman" w:hAnsi="Calibri" w:cs="Times New Roman"/>
                <w:b/>
                <w:bCs/>
                <w:lang w:eastAsia="cs-CZ"/>
              </w:rPr>
              <w:t xml:space="preserve"> (širší pojetí)</w:t>
            </w:r>
          </w:p>
        </w:tc>
        <w:tc>
          <w:tcPr>
            <w:tcW w:w="1362" w:type="dxa"/>
            <w:shd w:val="clear" w:color="auto" w:fill="auto"/>
            <w:noWrap/>
            <w:vAlign w:val="center"/>
            <w:hideMark/>
          </w:tcPr>
          <w:p w:rsidR="000F5B6F" w:rsidRPr="001825DF" w:rsidRDefault="000F5B6F" w:rsidP="00B52FD3">
            <w:pPr>
              <w:keepNext/>
              <w:spacing w:before="0" w:after="0" w:line="240" w:lineRule="auto"/>
              <w:jc w:val="right"/>
              <w:rPr>
                <w:rFonts w:ascii="Calibri" w:eastAsia="Times New Roman" w:hAnsi="Calibri" w:cs="Times New Roman"/>
                <w:lang w:eastAsia="cs-CZ"/>
              </w:rPr>
            </w:pPr>
            <w:r w:rsidRPr="001825DF">
              <w:rPr>
                <w:rFonts w:ascii="Calibri" w:eastAsia="Times New Roman" w:hAnsi="Calibri" w:cs="Times New Roman"/>
                <w:lang w:eastAsia="cs-CZ"/>
              </w:rPr>
              <w:t>84 mil. Kč</w:t>
            </w:r>
          </w:p>
        </w:tc>
        <w:tc>
          <w:tcPr>
            <w:tcW w:w="960" w:type="dxa"/>
            <w:shd w:val="clear" w:color="auto" w:fill="auto"/>
            <w:noWrap/>
            <w:vAlign w:val="center"/>
            <w:hideMark/>
          </w:tcPr>
          <w:p w:rsidR="000F5B6F" w:rsidRPr="008D055E" w:rsidRDefault="000F5B6F" w:rsidP="00B52FD3">
            <w:pPr>
              <w:keepNext/>
              <w:spacing w:before="0" w:after="0" w:line="240" w:lineRule="auto"/>
              <w:jc w:val="right"/>
              <w:rPr>
                <w:rFonts w:ascii="Calibri" w:eastAsia="Times New Roman" w:hAnsi="Calibri" w:cs="Times New Roman"/>
                <w:lang w:eastAsia="cs-CZ"/>
              </w:rPr>
            </w:pPr>
            <w:r w:rsidRPr="008D055E">
              <w:rPr>
                <w:rFonts w:ascii="Calibri" w:eastAsia="Times New Roman" w:hAnsi="Calibri" w:cs="Times New Roman"/>
                <w:lang w:eastAsia="cs-CZ"/>
              </w:rPr>
              <w:t>1%</w:t>
            </w:r>
          </w:p>
        </w:tc>
      </w:tr>
    </w:tbl>
    <w:p w:rsidR="000F5B6F" w:rsidRDefault="000F5B6F" w:rsidP="008D055E">
      <w:pPr>
        <w:pStyle w:val="Titulek"/>
      </w:pPr>
      <w:r>
        <w:t xml:space="preserve">Tabulka </w:t>
      </w:r>
      <w:r w:rsidR="00297831">
        <w:fldChar w:fldCharType="begin"/>
      </w:r>
      <w:r w:rsidR="00297831">
        <w:instrText xml:space="preserve"> SEQ Tabulka \* ARABIC </w:instrText>
      </w:r>
      <w:r w:rsidR="00297831">
        <w:fldChar w:fldCharType="separate"/>
      </w:r>
      <w:r w:rsidR="00297831">
        <w:rPr>
          <w:noProof/>
        </w:rPr>
        <w:t>2</w:t>
      </w:r>
      <w:r w:rsidR="00297831">
        <w:rPr>
          <w:noProof/>
        </w:rPr>
        <w:fldChar w:fldCharType="end"/>
      </w:r>
      <w:r>
        <w:t xml:space="preserve"> - Finanční objem dle </w:t>
      </w:r>
      <w:r w:rsidR="00886B0D">
        <w:t xml:space="preserve">skupin komoditních </w:t>
      </w:r>
      <w:r>
        <w:t xml:space="preserve">kategorií (vzorek 6 </w:t>
      </w:r>
      <w:r w:rsidRPr="008D055E">
        <w:t>resortů</w:t>
      </w:r>
      <w:r>
        <w:t>)</w:t>
      </w:r>
    </w:p>
    <w:p w:rsidR="00D34A5F" w:rsidRDefault="003E49DD" w:rsidP="00AC4617">
      <w:pPr>
        <w:pStyle w:val="Nadpis2"/>
      </w:pPr>
      <w:bookmarkStart w:id="4" w:name="_Toc411438721"/>
      <w:bookmarkStart w:id="5" w:name="_Toc410917255"/>
      <w:bookmarkStart w:id="6" w:name="_Toc410917252"/>
      <w:r>
        <w:t xml:space="preserve">Rozpad výdajů </w:t>
      </w:r>
      <w:r w:rsidR="00BC2E33">
        <w:t xml:space="preserve">dle </w:t>
      </w:r>
      <w:r>
        <w:t>komoditních kategorií</w:t>
      </w:r>
      <w:bookmarkEnd w:id="4"/>
    </w:p>
    <w:p w:rsidR="00AC4617" w:rsidRPr="00AC4617" w:rsidRDefault="00AC4617" w:rsidP="00AC4617">
      <w:pPr>
        <w:rPr>
          <w:lang w:eastAsia="cs-CZ"/>
        </w:rPr>
      </w:pPr>
      <w:r>
        <w:rPr>
          <w:lang w:eastAsia="cs-CZ"/>
        </w:rPr>
        <w:t xml:space="preserve">V následujících tabulkách jsou </w:t>
      </w:r>
      <w:r w:rsidR="006A4EF0">
        <w:rPr>
          <w:lang w:eastAsia="cs-CZ"/>
        </w:rPr>
        <w:t>znázorněny finanční objemy jedno</w:t>
      </w:r>
      <w:r>
        <w:rPr>
          <w:lang w:eastAsia="cs-CZ"/>
        </w:rPr>
        <w:t xml:space="preserve">tlivých komoditních kategorií seskupené do skupin dle kapitoly </w:t>
      </w:r>
      <w:r>
        <w:rPr>
          <w:lang w:eastAsia="cs-CZ"/>
        </w:rPr>
        <w:fldChar w:fldCharType="begin"/>
      </w:r>
      <w:r>
        <w:rPr>
          <w:lang w:eastAsia="cs-CZ"/>
        </w:rPr>
        <w:instrText xml:space="preserve"> REF _Ref411429857 \r \h </w:instrText>
      </w:r>
      <w:r>
        <w:rPr>
          <w:lang w:eastAsia="cs-CZ"/>
        </w:rPr>
      </w:r>
      <w:r>
        <w:rPr>
          <w:lang w:eastAsia="cs-CZ"/>
        </w:rPr>
        <w:fldChar w:fldCharType="separate"/>
      </w:r>
      <w:r w:rsidR="00297831">
        <w:rPr>
          <w:lang w:eastAsia="cs-CZ"/>
        </w:rPr>
        <w:t>1.1</w:t>
      </w:r>
      <w:r>
        <w:rPr>
          <w:lang w:eastAsia="cs-CZ"/>
        </w:rPr>
        <w:fldChar w:fldCharType="end"/>
      </w:r>
      <w:r w:rsidR="007164C0">
        <w:rPr>
          <w:lang w:eastAsia="cs-CZ"/>
        </w:rPr>
        <w:t>.</w:t>
      </w:r>
    </w:p>
    <w:p w:rsidR="005F5B4E" w:rsidRDefault="005F5B4E" w:rsidP="00D34A5F">
      <w:pPr>
        <w:pStyle w:val="Nadpis3"/>
      </w:pPr>
      <w:bookmarkStart w:id="7" w:name="_Toc411438722"/>
      <w:r>
        <w:t>Energie a správa budov</w:t>
      </w:r>
      <w:bookmarkEnd w:id="5"/>
      <w:bookmarkEnd w:id="7"/>
    </w:p>
    <w:p w:rsidR="007164C0" w:rsidRDefault="007164C0" w:rsidP="005F5B4E">
      <w:pPr>
        <w:rPr>
          <w:lang w:eastAsia="cs-CZ"/>
        </w:rPr>
      </w:pPr>
      <w:r>
        <w:rPr>
          <w:lang w:eastAsia="cs-CZ"/>
        </w:rPr>
        <w:t>Ve skupině</w:t>
      </w:r>
      <w:r w:rsidR="005F5B4E">
        <w:rPr>
          <w:lang w:eastAsia="cs-CZ"/>
        </w:rPr>
        <w:t xml:space="preserve"> Energie a správa budov byly za rok 201</w:t>
      </w:r>
      <w:r w:rsidR="00942817">
        <w:rPr>
          <w:lang w:eastAsia="cs-CZ"/>
        </w:rPr>
        <w:t>3 vydány faktury v  objemu 2 022</w:t>
      </w:r>
      <w:r w:rsidR="00BF11E7">
        <w:rPr>
          <w:lang w:eastAsia="cs-CZ"/>
        </w:rPr>
        <w:t xml:space="preserve"> mil. Kč</w:t>
      </w:r>
      <w:r w:rsidR="006A4EF0">
        <w:rPr>
          <w:lang w:eastAsia="cs-CZ"/>
        </w:rPr>
        <w:t>,</w:t>
      </w:r>
      <w:r w:rsidR="00BF11E7">
        <w:rPr>
          <w:lang w:eastAsia="cs-CZ"/>
        </w:rPr>
        <w:t xml:space="preserve"> což tvoří</w:t>
      </w:r>
      <w:r w:rsidR="005F5B4E">
        <w:rPr>
          <w:lang w:eastAsia="cs-CZ"/>
        </w:rPr>
        <w:t xml:space="preserve"> </w:t>
      </w:r>
      <w:r w:rsidR="00B33D5D">
        <w:rPr>
          <w:lang w:eastAsia="cs-CZ"/>
        </w:rPr>
        <w:t>10</w:t>
      </w:r>
      <w:r w:rsidR="005F5B4E">
        <w:rPr>
          <w:lang w:eastAsia="cs-CZ"/>
        </w:rPr>
        <w:t>% celkového finančního objemu zahrnutého v komoditní analýze. Přes 40% z toho tvoří s objemem 837 mil. Kč energie, tj. paliva, elektrická energie, pára a horká voda. Dalších 748</w:t>
      </w:r>
      <w:r w:rsidR="00AE533A">
        <w:rPr>
          <w:lang w:eastAsia="cs-CZ"/>
        </w:rPr>
        <w:t> mil. K</w:t>
      </w:r>
      <w:r w:rsidR="005F5B4E">
        <w:rPr>
          <w:lang w:eastAsia="cs-CZ"/>
        </w:rPr>
        <w:t>č bylo vydáno na bezpečnost</w:t>
      </w:r>
      <w:r w:rsidR="00AE533A">
        <w:rPr>
          <w:lang w:eastAsia="cs-CZ"/>
        </w:rPr>
        <w:t>n</w:t>
      </w:r>
      <w:r w:rsidR="005F5B4E">
        <w:rPr>
          <w:lang w:eastAsia="cs-CZ"/>
        </w:rPr>
        <w:t>í služby a zbylých 22% je rozděleno mezi úklidové a realitní služby, služby odpadového hospodářství a údržbu technického zařízení budov.</w:t>
      </w:r>
    </w:p>
    <w:p w:rsidR="00B704E7" w:rsidRDefault="00AE533A" w:rsidP="005F5B4E">
      <w:pPr>
        <w:rPr>
          <w:lang w:eastAsia="cs-CZ"/>
        </w:rPr>
      </w:pPr>
      <w:r>
        <w:rPr>
          <w:lang w:eastAsia="cs-CZ"/>
        </w:rPr>
        <w:t>V </w:t>
      </w:r>
      <w:r w:rsidR="00C24ED0">
        <w:rPr>
          <w:lang w:eastAsia="cs-CZ"/>
        </w:rPr>
        <w:t>t</w:t>
      </w:r>
      <w:r>
        <w:rPr>
          <w:lang w:eastAsia="cs-CZ"/>
        </w:rPr>
        <w:t xml:space="preserve">éto </w:t>
      </w:r>
      <w:r w:rsidR="007164C0">
        <w:rPr>
          <w:lang w:eastAsia="cs-CZ"/>
        </w:rPr>
        <w:t>skupině</w:t>
      </w:r>
      <w:r>
        <w:rPr>
          <w:lang w:eastAsia="cs-CZ"/>
        </w:rPr>
        <w:t xml:space="preserve"> </w:t>
      </w:r>
      <w:r w:rsidR="007164C0">
        <w:rPr>
          <w:lang w:eastAsia="cs-CZ"/>
        </w:rPr>
        <w:t xml:space="preserve">je </w:t>
      </w:r>
      <w:r>
        <w:rPr>
          <w:lang w:eastAsia="cs-CZ"/>
        </w:rPr>
        <w:t xml:space="preserve">celkem 13 655 faktur, průměrná </w:t>
      </w:r>
      <w:r w:rsidR="00CC1FEE">
        <w:rPr>
          <w:lang w:eastAsia="cs-CZ"/>
        </w:rPr>
        <w:t>výše</w:t>
      </w:r>
      <w:r>
        <w:rPr>
          <w:lang w:eastAsia="cs-CZ"/>
        </w:rPr>
        <w:t xml:space="preserve"> faktury </w:t>
      </w:r>
      <w:r w:rsidR="007164C0">
        <w:rPr>
          <w:lang w:eastAsia="cs-CZ"/>
        </w:rPr>
        <w:t>je</w:t>
      </w:r>
      <w:r>
        <w:rPr>
          <w:lang w:eastAsia="cs-CZ"/>
        </w:rPr>
        <w:t xml:space="preserve"> </w:t>
      </w:r>
      <w:r w:rsidR="00C24ED0">
        <w:rPr>
          <w:lang w:eastAsia="cs-CZ"/>
        </w:rPr>
        <w:t>148 tis. Kč</w:t>
      </w:r>
      <w:r w:rsidR="001900A7">
        <w:rPr>
          <w:lang w:eastAsia="cs-CZ"/>
        </w:rPr>
        <w:t xml:space="preserve"> a </w:t>
      </w:r>
      <w:r w:rsidR="00C24ED0">
        <w:rPr>
          <w:lang w:eastAsia="cs-CZ"/>
        </w:rPr>
        <w:t>medián je 10 060 Kč.</w:t>
      </w:r>
      <w:r w:rsidR="00BF11E7">
        <w:rPr>
          <w:lang w:eastAsia="cs-CZ"/>
        </w:rPr>
        <w:t xml:space="preserve"> </w:t>
      </w:r>
      <w:r w:rsidR="007164C0">
        <w:rPr>
          <w:lang w:eastAsia="cs-CZ"/>
        </w:rPr>
        <w:t xml:space="preserve">Komodity ve skupině byly dodávány 302 dodavateli. Na jednoho dodavatele připadalo průměrně </w:t>
      </w:r>
      <w:r w:rsidR="004A47ED">
        <w:rPr>
          <w:lang w:eastAsia="cs-CZ"/>
        </w:rPr>
        <w:t>45,2</w:t>
      </w:r>
      <w:r w:rsidR="007164C0">
        <w:rPr>
          <w:lang w:eastAsia="cs-CZ"/>
        </w:rPr>
        <w:t xml:space="preserve"> faktur, za které inkasoval průměrně</w:t>
      </w:r>
      <w:r w:rsidR="00906A67">
        <w:rPr>
          <w:lang w:eastAsia="cs-CZ"/>
        </w:rPr>
        <w:t xml:space="preserve"> 6,7 mil. Kč</w:t>
      </w:r>
      <w:r w:rsidR="00BF11E7">
        <w:rPr>
          <w:lang w:eastAsia="cs-CZ"/>
        </w:rPr>
        <w:t>.</w:t>
      </w: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6521"/>
        <w:gridCol w:w="1995"/>
        <w:gridCol w:w="696"/>
      </w:tblGrid>
      <w:tr w:rsidR="00942817" w:rsidRPr="00942817" w:rsidTr="00455808">
        <w:trPr>
          <w:trHeight w:val="300"/>
        </w:trPr>
        <w:tc>
          <w:tcPr>
            <w:tcW w:w="3539" w:type="pct"/>
            <w:shd w:val="clear" w:color="000000" w:fill="2DB9FF"/>
            <w:noWrap/>
            <w:vAlign w:val="center"/>
            <w:hideMark/>
          </w:tcPr>
          <w:p w:rsidR="00942817" w:rsidRPr="00942817" w:rsidRDefault="00942817" w:rsidP="0014231A">
            <w:pPr>
              <w:keepNext/>
              <w:spacing w:before="0" w:after="0" w:line="240" w:lineRule="auto"/>
              <w:jc w:val="left"/>
              <w:rPr>
                <w:rFonts w:ascii="Calibri" w:eastAsia="Times New Roman" w:hAnsi="Calibri" w:cs="Times New Roman"/>
                <w:b/>
                <w:bCs/>
                <w:color w:val="FFFFFF"/>
                <w:szCs w:val="22"/>
                <w:lang w:eastAsia="cs-CZ"/>
              </w:rPr>
            </w:pPr>
            <w:r w:rsidRPr="00942817">
              <w:rPr>
                <w:rFonts w:ascii="Calibri" w:eastAsia="Segoe UI Semibold" w:hAnsi="Calibri" w:cs="Segoe UI Semibold"/>
                <w:b/>
                <w:bCs/>
                <w:color w:val="FFFFFF"/>
                <w:szCs w:val="22"/>
                <w:lang w:eastAsia="cs-CZ"/>
              </w:rPr>
              <w:t>Energie a správa budov</w:t>
            </w:r>
          </w:p>
        </w:tc>
        <w:tc>
          <w:tcPr>
            <w:tcW w:w="1083" w:type="pct"/>
            <w:shd w:val="clear" w:color="000000" w:fill="2DB9FF"/>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b/>
                <w:bCs/>
                <w:color w:val="FFFFFF"/>
                <w:szCs w:val="22"/>
                <w:lang w:eastAsia="cs-CZ"/>
              </w:rPr>
            </w:pPr>
            <w:r w:rsidRPr="00942817">
              <w:rPr>
                <w:rFonts w:ascii="Calibri" w:eastAsia="Times New Roman" w:hAnsi="Calibri" w:cs="Times New Roman"/>
                <w:b/>
                <w:bCs/>
                <w:color w:val="FFFFFF"/>
                <w:szCs w:val="22"/>
                <w:lang w:eastAsia="cs-CZ"/>
              </w:rPr>
              <w:t>2 022 mil. Kč</w:t>
            </w:r>
          </w:p>
        </w:tc>
        <w:tc>
          <w:tcPr>
            <w:tcW w:w="378" w:type="pct"/>
            <w:shd w:val="clear" w:color="000000" w:fill="2DB9FF"/>
            <w:noWrap/>
            <w:vAlign w:val="center"/>
            <w:hideMark/>
          </w:tcPr>
          <w:p w:rsidR="00942817" w:rsidRPr="00455808" w:rsidRDefault="00455808" w:rsidP="0014231A">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w:t>
            </w:r>
            <w:r w:rsidR="00942817" w:rsidRPr="00455808">
              <w:rPr>
                <w:rFonts w:ascii="Calibri" w:eastAsia="Times New Roman" w:hAnsi="Calibri" w:cs="Times New Roman"/>
                <w:b/>
                <w:bCs/>
                <w:color w:val="FFFFFF"/>
                <w:szCs w:val="22"/>
                <w:lang w:eastAsia="cs-CZ"/>
              </w:rPr>
              <w:t> </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Paliva a elektrická energie, pára a horká voda</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837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41%</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Bezpečnostní služby</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748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37%</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Služby odpadového hospodářství</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156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8%</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Úklidové a čistící služby</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154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8%</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Realitní služby</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114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6%</w:t>
            </w:r>
          </w:p>
        </w:tc>
      </w:tr>
      <w:tr w:rsidR="00942817" w:rsidRPr="00942817" w:rsidTr="00455808">
        <w:trPr>
          <w:trHeight w:val="300"/>
        </w:trPr>
        <w:tc>
          <w:tcPr>
            <w:tcW w:w="3539" w:type="pct"/>
            <w:shd w:val="clear" w:color="auto" w:fill="auto"/>
            <w:noWrap/>
            <w:vAlign w:val="center"/>
            <w:hideMark/>
          </w:tcPr>
          <w:p w:rsidR="00942817" w:rsidRPr="00942817" w:rsidRDefault="0094281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Opravy a údržba technických zařízení budov</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12 mil. Kč</w:t>
            </w:r>
          </w:p>
        </w:tc>
        <w:tc>
          <w:tcPr>
            <w:tcW w:w="378" w:type="pct"/>
            <w:shd w:val="clear" w:color="auto" w:fill="auto"/>
            <w:noWrap/>
            <w:vAlign w:val="center"/>
            <w:hideMark/>
          </w:tcPr>
          <w:p w:rsidR="00942817" w:rsidRPr="00942817" w:rsidRDefault="003E49DD" w:rsidP="0014231A">
            <w:pPr>
              <w:keepNext/>
              <w:spacing w:before="0" w:after="0" w:line="240" w:lineRule="auto"/>
              <w:jc w:val="right"/>
              <w:rPr>
                <w:rFonts w:ascii="Calibri" w:eastAsia="Times New Roman" w:hAnsi="Calibri" w:cs="Times New Roman"/>
                <w:color w:val="404040"/>
                <w:lang w:eastAsia="cs-CZ"/>
              </w:rPr>
            </w:pPr>
            <w:r>
              <w:rPr>
                <w:rFonts w:ascii="Calibri" w:eastAsia="Times New Roman" w:hAnsi="Calibri" w:cs="Times New Roman"/>
                <w:color w:val="404040"/>
                <w:lang w:eastAsia="cs-CZ"/>
              </w:rPr>
              <w:t>0,6</w:t>
            </w:r>
            <w:r w:rsidR="00942817" w:rsidRPr="00942817">
              <w:rPr>
                <w:rFonts w:ascii="Calibri" w:eastAsia="Times New Roman" w:hAnsi="Calibri" w:cs="Times New Roman"/>
                <w:color w:val="404040"/>
                <w:lang w:eastAsia="cs-CZ"/>
              </w:rPr>
              <w:t>%</w:t>
            </w:r>
          </w:p>
        </w:tc>
      </w:tr>
      <w:tr w:rsidR="00942817" w:rsidRPr="00942817" w:rsidTr="00455808">
        <w:trPr>
          <w:trHeight w:val="300"/>
        </w:trPr>
        <w:tc>
          <w:tcPr>
            <w:tcW w:w="3539" w:type="pct"/>
            <w:shd w:val="clear" w:color="auto" w:fill="auto"/>
            <w:noWrap/>
            <w:vAlign w:val="center"/>
            <w:hideMark/>
          </w:tcPr>
          <w:p w:rsidR="00942817" w:rsidRPr="00942817" w:rsidRDefault="003C44D7" w:rsidP="0014231A">
            <w:pPr>
              <w:keepNext/>
              <w:spacing w:before="0" w:after="0" w:line="240" w:lineRule="auto"/>
              <w:jc w:val="lef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Čisticí</w:t>
            </w:r>
            <w:r w:rsidR="00942817" w:rsidRPr="00942817">
              <w:rPr>
                <w:rFonts w:ascii="Calibri" w:eastAsia="Times New Roman" w:hAnsi="Calibri" w:cs="Times New Roman"/>
                <w:color w:val="404040"/>
                <w:lang w:eastAsia="cs-CZ"/>
              </w:rPr>
              <w:t xml:space="preserve"> prostředky a jiné drogistické zboží</w:t>
            </w:r>
          </w:p>
        </w:tc>
        <w:tc>
          <w:tcPr>
            <w:tcW w:w="1083"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1 mil. Kč</w:t>
            </w:r>
          </w:p>
        </w:tc>
        <w:tc>
          <w:tcPr>
            <w:tcW w:w="378" w:type="pct"/>
            <w:shd w:val="clear" w:color="auto" w:fill="auto"/>
            <w:noWrap/>
            <w:vAlign w:val="center"/>
            <w:hideMark/>
          </w:tcPr>
          <w:p w:rsidR="00942817" w:rsidRPr="00942817" w:rsidRDefault="00942817" w:rsidP="0014231A">
            <w:pPr>
              <w:keepNext/>
              <w:spacing w:before="0" w:after="0" w:line="240" w:lineRule="auto"/>
              <w:jc w:val="right"/>
              <w:rPr>
                <w:rFonts w:ascii="Calibri" w:eastAsia="Times New Roman" w:hAnsi="Calibri" w:cs="Times New Roman"/>
                <w:color w:val="404040"/>
                <w:lang w:eastAsia="cs-CZ"/>
              </w:rPr>
            </w:pPr>
            <w:r w:rsidRPr="00942817">
              <w:rPr>
                <w:rFonts w:ascii="Calibri" w:eastAsia="Times New Roman" w:hAnsi="Calibri" w:cs="Times New Roman"/>
                <w:color w:val="404040"/>
                <w:lang w:eastAsia="cs-CZ"/>
              </w:rPr>
              <w:t>0</w:t>
            </w:r>
            <w:r w:rsidR="003E49DD">
              <w:rPr>
                <w:rFonts w:ascii="Calibri" w:eastAsia="Times New Roman" w:hAnsi="Calibri" w:cs="Times New Roman"/>
                <w:color w:val="404040"/>
                <w:lang w:eastAsia="cs-CZ"/>
              </w:rPr>
              <w:t>,05</w:t>
            </w:r>
            <w:r w:rsidRPr="00942817">
              <w:rPr>
                <w:rFonts w:ascii="Calibri" w:eastAsia="Times New Roman" w:hAnsi="Calibri" w:cs="Times New Roman"/>
                <w:color w:val="404040"/>
                <w:lang w:eastAsia="cs-CZ"/>
              </w:rPr>
              <w:t>%</w:t>
            </w:r>
          </w:p>
        </w:tc>
      </w:tr>
    </w:tbl>
    <w:p w:rsidR="005F5B4E" w:rsidRPr="002F6099" w:rsidRDefault="005F5B4E" w:rsidP="005F5B4E">
      <w:pPr>
        <w:pStyle w:val="Titulek"/>
        <w:rPr>
          <w:lang w:eastAsia="cs-CZ"/>
        </w:rPr>
      </w:pPr>
      <w:bookmarkStart w:id="8" w:name="_Toc410924315"/>
      <w:r>
        <w:t xml:space="preserve">Tabulka </w:t>
      </w:r>
      <w:r w:rsidR="00297831">
        <w:fldChar w:fldCharType="begin"/>
      </w:r>
      <w:r w:rsidR="00297831">
        <w:instrText xml:space="preserve"> SEQ Tabulka \* ARABIC </w:instrText>
      </w:r>
      <w:r w:rsidR="00297831">
        <w:fldChar w:fldCharType="separate"/>
      </w:r>
      <w:r w:rsidR="00297831">
        <w:rPr>
          <w:noProof/>
        </w:rPr>
        <w:t>3</w:t>
      </w:r>
      <w:r w:rsidR="00297831">
        <w:rPr>
          <w:noProof/>
        </w:rPr>
        <w:fldChar w:fldCharType="end"/>
      </w:r>
      <w:r>
        <w:t xml:space="preserve"> - Energie a správa budov</w:t>
      </w:r>
      <w:bookmarkEnd w:id="8"/>
    </w:p>
    <w:p w:rsidR="005F5B4E" w:rsidRDefault="005F5B4E" w:rsidP="00D34A5F">
      <w:pPr>
        <w:pStyle w:val="Nadpis3"/>
      </w:pPr>
      <w:bookmarkStart w:id="9" w:name="_Toc411438723"/>
      <w:r>
        <w:t>Právní a poradenské služby</w:t>
      </w:r>
      <w:bookmarkEnd w:id="6"/>
      <w:bookmarkEnd w:id="9"/>
    </w:p>
    <w:p w:rsidR="007164C0" w:rsidRDefault="005F5B4E" w:rsidP="005F5B4E">
      <w:pPr>
        <w:rPr>
          <w:lang w:eastAsia="cs-CZ"/>
        </w:rPr>
      </w:pPr>
      <w:r>
        <w:rPr>
          <w:lang w:eastAsia="cs-CZ"/>
        </w:rPr>
        <w:t xml:space="preserve">Druhou největší </w:t>
      </w:r>
      <w:r w:rsidR="007164C0">
        <w:rPr>
          <w:lang w:eastAsia="cs-CZ"/>
        </w:rPr>
        <w:t>skupinou</w:t>
      </w:r>
      <w:r>
        <w:rPr>
          <w:lang w:eastAsia="cs-CZ"/>
        </w:rPr>
        <w:t xml:space="preserve"> v rámci komoditní analýzy jsou s celkovým podílem </w:t>
      </w:r>
      <w:r w:rsidR="00B33D5D">
        <w:rPr>
          <w:lang w:eastAsia="cs-CZ"/>
        </w:rPr>
        <w:t>9</w:t>
      </w:r>
      <w:r>
        <w:rPr>
          <w:lang w:eastAsia="cs-CZ"/>
        </w:rPr>
        <w:t xml:space="preserve">% všech zmapovaných výdajů </w:t>
      </w:r>
      <w:r w:rsidRPr="00E64823">
        <w:rPr>
          <w:lang w:eastAsia="cs-CZ"/>
        </w:rPr>
        <w:t>Právní a poradenské služby</w:t>
      </w:r>
      <w:r>
        <w:rPr>
          <w:lang w:eastAsia="cs-CZ"/>
        </w:rPr>
        <w:t>. Nejvíce z toho, 565 mil. Kč, bylo fakturováno na Reklamní a</w:t>
      </w:r>
      <w:r w:rsidR="006A4EF0">
        <w:rPr>
          <w:lang w:eastAsia="cs-CZ"/>
        </w:rPr>
        <w:t> </w:t>
      </w:r>
      <w:r>
        <w:rPr>
          <w:lang w:eastAsia="cs-CZ"/>
        </w:rPr>
        <w:t>marketingové služby</w:t>
      </w:r>
      <w:r w:rsidR="00B16C8D">
        <w:rPr>
          <w:lang w:eastAsia="cs-CZ"/>
        </w:rPr>
        <w:t>.</w:t>
      </w:r>
      <w:r>
        <w:rPr>
          <w:lang w:eastAsia="cs-CZ"/>
        </w:rPr>
        <w:t xml:space="preserve"> </w:t>
      </w:r>
      <w:r w:rsidR="00B16C8D">
        <w:rPr>
          <w:lang w:eastAsia="cs-CZ"/>
        </w:rPr>
        <w:t xml:space="preserve">Na </w:t>
      </w:r>
      <w:r>
        <w:rPr>
          <w:lang w:eastAsia="cs-CZ"/>
        </w:rPr>
        <w:t xml:space="preserve">finanční poradenství </w:t>
      </w:r>
      <w:r w:rsidR="00B16C8D">
        <w:rPr>
          <w:lang w:eastAsia="cs-CZ"/>
        </w:rPr>
        <w:t xml:space="preserve">bylo fakturováno </w:t>
      </w:r>
      <w:r>
        <w:rPr>
          <w:lang w:eastAsia="cs-CZ"/>
        </w:rPr>
        <w:t xml:space="preserve">486 mil. Kč a na poradenství pro informační technologie 457 mil. Kč. Zbylých 15% </w:t>
      </w:r>
      <w:r w:rsidR="00923B42">
        <w:rPr>
          <w:lang w:eastAsia="cs-CZ"/>
        </w:rPr>
        <w:t>ve skupině</w:t>
      </w:r>
      <w:r>
        <w:rPr>
          <w:lang w:eastAsia="cs-CZ"/>
        </w:rPr>
        <w:t xml:space="preserve"> tvoří právní a účetní služby, manaže</w:t>
      </w:r>
      <w:r w:rsidR="00B16C8D">
        <w:rPr>
          <w:lang w:eastAsia="cs-CZ"/>
        </w:rPr>
        <w:t xml:space="preserve">rské poradenství a ostatní poradenství kde </w:t>
      </w:r>
      <w:r>
        <w:rPr>
          <w:lang w:eastAsia="cs-CZ"/>
        </w:rPr>
        <w:t xml:space="preserve">nebylo možno </w:t>
      </w:r>
      <w:r w:rsidR="00B16C8D">
        <w:rPr>
          <w:lang w:eastAsia="cs-CZ"/>
        </w:rPr>
        <w:t>určit jednotnou komoditní kategorii</w:t>
      </w:r>
      <w:r>
        <w:rPr>
          <w:lang w:eastAsia="cs-CZ"/>
        </w:rPr>
        <w:t xml:space="preserve">. </w:t>
      </w:r>
    </w:p>
    <w:p w:rsidR="005F5B4E" w:rsidRDefault="007164C0" w:rsidP="005F5B4E">
      <w:pPr>
        <w:rPr>
          <w:lang w:eastAsia="cs-CZ"/>
        </w:rPr>
      </w:pPr>
      <w:r>
        <w:rPr>
          <w:lang w:eastAsia="cs-CZ"/>
        </w:rPr>
        <w:t>Ve skupině</w:t>
      </w:r>
      <w:r w:rsidR="00B16C8D">
        <w:rPr>
          <w:lang w:eastAsia="cs-CZ"/>
        </w:rPr>
        <w:t xml:space="preserve"> </w:t>
      </w:r>
      <w:r>
        <w:rPr>
          <w:lang w:eastAsia="cs-CZ"/>
        </w:rPr>
        <w:t>je</w:t>
      </w:r>
      <w:r w:rsidR="00B16C8D">
        <w:rPr>
          <w:lang w:eastAsia="cs-CZ"/>
        </w:rPr>
        <w:t xml:space="preserve"> </w:t>
      </w:r>
      <w:r w:rsidR="00C24ED0">
        <w:rPr>
          <w:lang w:eastAsia="cs-CZ"/>
        </w:rPr>
        <w:t xml:space="preserve">6 338 faktur, průměrná </w:t>
      </w:r>
      <w:r w:rsidR="00CC1FEE">
        <w:rPr>
          <w:lang w:eastAsia="cs-CZ"/>
        </w:rPr>
        <w:t>výše</w:t>
      </w:r>
      <w:r w:rsidR="00C24ED0">
        <w:rPr>
          <w:lang w:eastAsia="cs-CZ"/>
        </w:rPr>
        <w:t xml:space="preserve"> faktu</w:t>
      </w:r>
      <w:r w:rsidR="00B16C8D">
        <w:rPr>
          <w:lang w:eastAsia="cs-CZ"/>
        </w:rPr>
        <w:t xml:space="preserve">ry </w:t>
      </w:r>
      <w:r>
        <w:rPr>
          <w:lang w:eastAsia="cs-CZ"/>
        </w:rPr>
        <w:t>je</w:t>
      </w:r>
      <w:r w:rsidR="00B16C8D">
        <w:rPr>
          <w:lang w:eastAsia="cs-CZ"/>
        </w:rPr>
        <w:t xml:space="preserve"> 279 tis. Kč a medián 20 </w:t>
      </w:r>
      <w:r w:rsidR="00C24ED0">
        <w:rPr>
          <w:lang w:eastAsia="cs-CZ"/>
        </w:rPr>
        <w:t>tis. Kč.</w:t>
      </w:r>
      <w:r w:rsidR="00B16C8D">
        <w:rPr>
          <w:lang w:eastAsia="cs-CZ"/>
        </w:rPr>
        <w:t xml:space="preserve"> Výdaje byly rozděleny mezi 214 dodavatelů, kteří </w:t>
      </w:r>
      <w:r>
        <w:rPr>
          <w:lang w:eastAsia="cs-CZ"/>
        </w:rPr>
        <w:t>vystavili</w:t>
      </w:r>
      <w:r w:rsidR="00B16C8D">
        <w:rPr>
          <w:lang w:eastAsia="cs-CZ"/>
        </w:rPr>
        <w:t xml:space="preserve"> průměrně </w:t>
      </w:r>
      <w:r w:rsidR="004A47ED">
        <w:rPr>
          <w:lang w:eastAsia="cs-CZ"/>
        </w:rPr>
        <w:t>29,6</w:t>
      </w:r>
      <w:r w:rsidR="00906A67">
        <w:rPr>
          <w:lang w:eastAsia="cs-CZ"/>
        </w:rPr>
        <w:t xml:space="preserve"> faktur na dodavatele a průměrné výdaje byly 8,3 mil. Kč na dodavatele.</w:t>
      </w:r>
    </w:p>
    <w:p w:rsidR="00B704E7" w:rsidRPr="00906A67" w:rsidRDefault="00B704E7" w:rsidP="005F5B4E">
      <w:pPr>
        <w:rPr>
          <w:lang w:eastAsia="cs-CZ"/>
        </w:rPr>
      </w:pP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6521"/>
        <w:gridCol w:w="1995"/>
        <w:gridCol w:w="696"/>
      </w:tblGrid>
      <w:tr w:rsidR="00455808" w:rsidRPr="00073211" w:rsidTr="00455808">
        <w:trPr>
          <w:trHeight w:val="300"/>
        </w:trPr>
        <w:tc>
          <w:tcPr>
            <w:tcW w:w="3539" w:type="pct"/>
            <w:shd w:val="clear" w:color="000000" w:fill="2DB9FF"/>
            <w:noWrap/>
            <w:vAlign w:val="center"/>
            <w:hideMark/>
          </w:tcPr>
          <w:p w:rsidR="00455808" w:rsidRPr="00073211" w:rsidRDefault="00455808" w:rsidP="0014231A">
            <w:pPr>
              <w:keepNext/>
              <w:spacing w:before="0" w:after="0" w:line="240" w:lineRule="auto"/>
              <w:jc w:val="left"/>
              <w:rPr>
                <w:rFonts w:ascii="Calibri" w:eastAsia="Times New Roman" w:hAnsi="Calibri" w:cs="Times New Roman"/>
                <w:b/>
                <w:bCs/>
                <w:color w:val="FFFFFF"/>
                <w:szCs w:val="22"/>
                <w:lang w:eastAsia="cs-CZ"/>
              </w:rPr>
            </w:pPr>
            <w:r w:rsidRPr="00073211">
              <w:rPr>
                <w:rFonts w:ascii="Calibri" w:eastAsia="Segoe UI Semibold" w:hAnsi="Calibri" w:cs="Segoe UI Semibold"/>
                <w:b/>
                <w:bCs/>
                <w:color w:val="FFFFFF"/>
                <w:szCs w:val="22"/>
                <w:lang w:eastAsia="cs-CZ"/>
              </w:rPr>
              <w:lastRenderedPageBreak/>
              <w:t>Právní a poradenské služby</w:t>
            </w:r>
          </w:p>
        </w:tc>
        <w:tc>
          <w:tcPr>
            <w:tcW w:w="1083" w:type="pct"/>
            <w:shd w:val="clear" w:color="000000" w:fill="2DB9FF"/>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b/>
                <w:bCs/>
                <w:color w:val="FFFFFF"/>
                <w:szCs w:val="22"/>
                <w:lang w:eastAsia="cs-CZ"/>
              </w:rPr>
            </w:pPr>
            <w:r w:rsidRPr="00073211">
              <w:rPr>
                <w:rFonts w:ascii="Calibri" w:eastAsia="Times New Roman" w:hAnsi="Calibri" w:cs="Times New Roman"/>
                <w:b/>
                <w:bCs/>
                <w:color w:val="FFFFFF"/>
                <w:szCs w:val="22"/>
                <w:lang w:eastAsia="cs-CZ"/>
              </w:rPr>
              <w:t>1 770 mil. Kč</w:t>
            </w:r>
          </w:p>
        </w:tc>
        <w:tc>
          <w:tcPr>
            <w:tcW w:w="378" w:type="pct"/>
            <w:shd w:val="clear" w:color="000000" w:fill="2DB9FF"/>
            <w:noWrap/>
            <w:vAlign w:val="center"/>
            <w:hideMark/>
          </w:tcPr>
          <w:p w:rsidR="00455808" w:rsidRPr="00455808" w:rsidRDefault="00455808" w:rsidP="00455808">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Reklamní a marketingové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565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32%</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Finanční poradenství, finanční a pojišťovací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486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27%</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Poradenství a služby pro informační technologie</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457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26%</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Právní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92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5%</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Konzultační služby (více oborů)</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89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5%</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Účetnictví, daňové poradenství a auditorské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67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4%</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Manažerské a podnikové poradenství</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13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Personální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0%</w:t>
            </w:r>
          </w:p>
        </w:tc>
      </w:tr>
    </w:tbl>
    <w:p w:rsidR="005F5B4E" w:rsidRPr="002F6099" w:rsidRDefault="005F5B4E" w:rsidP="005F5B4E">
      <w:pPr>
        <w:pStyle w:val="Titulek"/>
        <w:rPr>
          <w:lang w:eastAsia="cs-CZ"/>
        </w:rPr>
      </w:pPr>
      <w:bookmarkStart w:id="10" w:name="_Toc410924312"/>
      <w:r>
        <w:t xml:space="preserve">Tabulka </w:t>
      </w:r>
      <w:r w:rsidR="00297831">
        <w:fldChar w:fldCharType="begin"/>
      </w:r>
      <w:r w:rsidR="00297831">
        <w:instrText xml:space="preserve"> SEQ Tabulka \* ARABIC </w:instrText>
      </w:r>
      <w:r w:rsidR="00297831">
        <w:fldChar w:fldCharType="separate"/>
      </w:r>
      <w:r w:rsidR="00297831">
        <w:rPr>
          <w:noProof/>
        </w:rPr>
        <w:t>4</w:t>
      </w:r>
      <w:r w:rsidR="00297831">
        <w:rPr>
          <w:noProof/>
        </w:rPr>
        <w:fldChar w:fldCharType="end"/>
      </w:r>
      <w:r>
        <w:t xml:space="preserve"> - Právní a poradenské služby</w:t>
      </w:r>
      <w:bookmarkEnd w:id="10"/>
    </w:p>
    <w:p w:rsidR="005F5B4E" w:rsidRDefault="005F5B4E" w:rsidP="00D34A5F">
      <w:pPr>
        <w:pStyle w:val="Nadpis3"/>
      </w:pPr>
      <w:bookmarkStart w:id="11" w:name="_Toc410917253"/>
      <w:bookmarkStart w:id="12" w:name="_Toc411438724"/>
      <w:r>
        <w:t>Doprava a ubytování</w:t>
      </w:r>
      <w:bookmarkEnd w:id="11"/>
      <w:bookmarkEnd w:id="12"/>
    </w:p>
    <w:p w:rsidR="007164C0" w:rsidRDefault="007164C0" w:rsidP="005F5B4E">
      <w:pPr>
        <w:rPr>
          <w:lang w:eastAsia="cs-CZ"/>
        </w:rPr>
      </w:pPr>
      <w:r>
        <w:rPr>
          <w:lang w:eastAsia="cs-CZ"/>
        </w:rPr>
        <w:t>Skupina</w:t>
      </w:r>
      <w:r w:rsidR="005F5B4E">
        <w:rPr>
          <w:lang w:eastAsia="cs-CZ"/>
        </w:rPr>
        <w:t xml:space="preserve"> Dopravy a ubytování tvoří </w:t>
      </w:r>
      <w:r w:rsidR="00B33D5D">
        <w:rPr>
          <w:lang w:eastAsia="cs-CZ"/>
        </w:rPr>
        <w:t>3</w:t>
      </w:r>
      <w:r w:rsidR="005F5B4E">
        <w:rPr>
          <w:lang w:eastAsia="cs-CZ"/>
        </w:rPr>
        <w:t xml:space="preserve">% celkového finančního objemu komodit pro centrální nákup. Nejvíce z toho tvoří </w:t>
      </w:r>
      <w:r w:rsidR="005F5B4E" w:rsidRPr="00073211">
        <w:rPr>
          <w:lang w:eastAsia="cs-CZ"/>
        </w:rPr>
        <w:t>Pomocné služby pro pozemní, vodní a leteckou do</w:t>
      </w:r>
      <w:r w:rsidR="005F5B4E">
        <w:rPr>
          <w:lang w:eastAsia="cs-CZ"/>
        </w:rPr>
        <w:t xml:space="preserve">pravu a </w:t>
      </w:r>
      <w:r w:rsidR="005F5B4E" w:rsidRPr="00073211">
        <w:rPr>
          <w:lang w:eastAsia="cs-CZ"/>
        </w:rPr>
        <w:t>Přepravní a jiné logistické služby</w:t>
      </w:r>
      <w:r w:rsidR="005F5B4E">
        <w:rPr>
          <w:lang w:eastAsia="cs-CZ"/>
        </w:rPr>
        <w:t>, tj. zejména jízdenky a letenky s celkovým objemem 453 mil. Kč. Zbylých 194 mil. Kč je rozděleno mezi ubytování a pohostinství a smíšené výdaje na služební cesty nezařaditelné mezi dopravu a ubytování.</w:t>
      </w:r>
    </w:p>
    <w:p w:rsidR="00B704E7" w:rsidRDefault="00C24ED0" w:rsidP="005F5B4E">
      <w:pPr>
        <w:rPr>
          <w:lang w:eastAsia="cs-CZ"/>
        </w:rPr>
      </w:pPr>
      <w:r>
        <w:rPr>
          <w:lang w:eastAsia="cs-CZ"/>
        </w:rPr>
        <w:t>V</w:t>
      </w:r>
      <w:r w:rsidR="007164C0">
        <w:rPr>
          <w:lang w:eastAsia="cs-CZ"/>
        </w:rPr>
        <w:t> této skupině</w:t>
      </w:r>
      <w:r>
        <w:rPr>
          <w:lang w:eastAsia="cs-CZ"/>
        </w:rPr>
        <w:t xml:space="preserve"> </w:t>
      </w:r>
      <w:r w:rsidR="007164C0">
        <w:rPr>
          <w:lang w:eastAsia="cs-CZ"/>
        </w:rPr>
        <w:t xml:space="preserve">je </w:t>
      </w:r>
      <w:r>
        <w:rPr>
          <w:lang w:eastAsia="cs-CZ"/>
        </w:rPr>
        <w:t xml:space="preserve">9 038 faktur, průměrná </w:t>
      </w:r>
      <w:r w:rsidR="00CC1FEE">
        <w:rPr>
          <w:lang w:eastAsia="cs-CZ"/>
        </w:rPr>
        <w:t>výše</w:t>
      </w:r>
      <w:r>
        <w:rPr>
          <w:lang w:eastAsia="cs-CZ"/>
        </w:rPr>
        <w:t xml:space="preserve"> faktury </w:t>
      </w:r>
      <w:r w:rsidR="007164C0">
        <w:rPr>
          <w:lang w:eastAsia="cs-CZ"/>
        </w:rPr>
        <w:t>je</w:t>
      </w:r>
      <w:r>
        <w:rPr>
          <w:lang w:eastAsia="cs-CZ"/>
        </w:rPr>
        <w:t xml:space="preserve"> 72 tis. Kč a medián 12 tis. Kč.</w:t>
      </w:r>
      <w:r w:rsidR="00B16C8D">
        <w:rPr>
          <w:lang w:eastAsia="cs-CZ"/>
        </w:rPr>
        <w:t xml:space="preserve"> Faktury byly </w:t>
      </w:r>
      <w:r w:rsidR="007164C0">
        <w:rPr>
          <w:lang w:eastAsia="cs-CZ"/>
        </w:rPr>
        <w:t xml:space="preserve">vystaveny </w:t>
      </w:r>
      <w:r w:rsidR="00B16C8D">
        <w:rPr>
          <w:lang w:eastAsia="cs-CZ"/>
        </w:rPr>
        <w:t xml:space="preserve">191 dodavateli, tj. </w:t>
      </w:r>
      <w:r w:rsidR="007164C0">
        <w:rPr>
          <w:lang w:eastAsia="cs-CZ"/>
        </w:rPr>
        <w:t>na jednoho dodavatele připadá</w:t>
      </w:r>
      <w:r w:rsidR="00B16C8D">
        <w:rPr>
          <w:lang w:eastAsia="cs-CZ"/>
        </w:rPr>
        <w:t xml:space="preserve"> </w:t>
      </w:r>
      <w:r w:rsidR="004A47ED">
        <w:rPr>
          <w:lang w:eastAsia="cs-CZ"/>
        </w:rPr>
        <w:t>47,3</w:t>
      </w:r>
      <w:r w:rsidR="00B16C8D">
        <w:rPr>
          <w:lang w:eastAsia="cs-CZ"/>
        </w:rPr>
        <w:t xml:space="preserve"> faktur </w:t>
      </w:r>
      <w:r w:rsidR="00906A67">
        <w:rPr>
          <w:lang w:eastAsia="cs-CZ"/>
        </w:rPr>
        <w:t>a</w:t>
      </w:r>
      <w:r w:rsidR="006A4EF0">
        <w:rPr>
          <w:lang w:eastAsia="cs-CZ"/>
        </w:rPr>
        <w:t xml:space="preserve"> </w:t>
      </w:r>
      <w:r w:rsidR="007164C0">
        <w:rPr>
          <w:lang w:eastAsia="cs-CZ"/>
        </w:rPr>
        <w:t>průměrný finanční objem 3,4</w:t>
      </w:r>
      <w:r w:rsidR="006A4EF0">
        <w:rPr>
          <w:lang w:eastAsia="cs-CZ"/>
        </w:rPr>
        <w:t> </w:t>
      </w:r>
      <w:r w:rsidR="007164C0">
        <w:rPr>
          <w:lang w:eastAsia="cs-CZ"/>
        </w:rPr>
        <w:t>mil. Kč</w:t>
      </w:r>
      <w:r w:rsidR="00B16C8D">
        <w:rPr>
          <w:lang w:eastAsia="cs-CZ"/>
        </w:rPr>
        <w:t>.</w:t>
      </w: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6521"/>
        <w:gridCol w:w="1995"/>
        <w:gridCol w:w="696"/>
      </w:tblGrid>
      <w:tr w:rsidR="00455808" w:rsidRPr="00073211" w:rsidTr="00455808">
        <w:trPr>
          <w:trHeight w:val="300"/>
        </w:trPr>
        <w:tc>
          <w:tcPr>
            <w:tcW w:w="3539" w:type="pct"/>
            <w:shd w:val="clear" w:color="000000" w:fill="2DB9FF"/>
            <w:noWrap/>
            <w:vAlign w:val="center"/>
            <w:hideMark/>
          </w:tcPr>
          <w:p w:rsidR="00455808" w:rsidRPr="00073211" w:rsidRDefault="00455808" w:rsidP="0014231A">
            <w:pPr>
              <w:keepNext/>
              <w:spacing w:before="0" w:after="0" w:line="240" w:lineRule="auto"/>
              <w:jc w:val="left"/>
              <w:rPr>
                <w:rFonts w:ascii="Calibri" w:eastAsia="Times New Roman" w:hAnsi="Calibri" w:cs="Times New Roman"/>
                <w:b/>
                <w:bCs/>
                <w:color w:val="FFFFFF"/>
                <w:szCs w:val="22"/>
                <w:lang w:eastAsia="cs-CZ"/>
              </w:rPr>
            </w:pPr>
            <w:r w:rsidRPr="00073211">
              <w:rPr>
                <w:rFonts w:ascii="Calibri" w:eastAsia="Segoe UI Semibold" w:hAnsi="Calibri" w:cs="Segoe UI Semibold"/>
                <w:b/>
                <w:bCs/>
                <w:color w:val="FFFFFF"/>
                <w:szCs w:val="22"/>
                <w:lang w:eastAsia="cs-CZ"/>
              </w:rPr>
              <w:t>Doprava a ubytování</w:t>
            </w:r>
          </w:p>
        </w:tc>
        <w:tc>
          <w:tcPr>
            <w:tcW w:w="1083" w:type="pct"/>
            <w:shd w:val="clear" w:color="000000" w:fill="2DB9FF"/>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b/>
                <w:bCs/>
                <w:color w:val="FFFFFF"/>
                <w:szCs w:val="22"/>
                <w:lang w:eastAsia="cs-CZ"/>
              </w:rPr>
            </w:pPr>
            <w:r w:rsidRPr="00073211">
              <w:rPr>
                <w:rFonts w:ascii="Calibri" w:eastAsia="Times New Roman" w:hAnsi="Calibri" w:cs="Times New Roman"/>
                <w:b/>
                <w:bCs/>
                <w:color w:val="FFFFFF"/>
                <w:szCs w:val="22"/>
                <w:lang w:eastAsia="cs-CZ"/>
              </w:rPr>
              <w:t>647 mil. Kč</w:t>
            </w:r>
          </w:p>
        </w:tc>
        <w:tc>
          <w:tcPr>
            <w:tcW w:w="378" w:type="pct"/>
            <w:shd w:val="clear" w:color="000000" w:fill="2DB9FF"/>
            <w:noWrap/>
            <w:vAlign w:val="center"/>
            <w:hideMark/>
          </w:tcPr>
          <w:p w:rsidR="00455808" w:rsidRPr="00455808" w:rsidRDefault="00455808" w:rsidP="00455808">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Pomocné služby pro pozemní, vodní a leteckou dopravu</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261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40%</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Přepravní a jiné logistické služby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192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30%</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Ubytovací služby, pohostinství, maloobchod</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181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28%</w:t>
            </w:r>
          </w:p>
        </w:tc>
      </w:tr>
      <w:tr w:rsidR="00455808" w:rsidRPr="00073211" w:rsidTr="00455808">
        <w:trPr>
          <w:trHeight w:val="300"/>
        </w:trPr>
        <w:tc>
          <w:tcPr>
            <w:tcW w:w="3539" w:type="pct"/>
            <w:shd w:val="clear" w:color="auto" w:fill="auto"/>
            <w:noWrap/>
            <w:vAlign w:val="center"/>
            <w:hideMark/>
          </w:tcPr>
          <w:p w:rsidR="00455808" w:rsidRPr="00073211" w:rsidRDefault="00455808" w:rsidP="0014231A">
            <w:pPr>
              <w:keepNext/>
              <w:spacing w:before="0" w:after="0" w:line="240" w:lineRule="auto"/>
              <w:jc w:val="lef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Služební cesty</w:t>
            </w:r>
          </w:p>
        </w:tc>
        <w:tc>
          <w:tcPr>
            <w:tcW w:w="1083"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13 mil. Kč</w:t>
            </w:r>
          </w:p>
        </w:tc>
        <w:tc>
          <w:tcPr>
            <w:tcW w:w="378" w:type="pct"/>
            <w:shd w:val="clear" w:color="auto" w:fill="auto"/>
            <w:noWrap/>
            <w:vAlign w:val="center"/>
            <w:hideMark/>
          </w:tcPr>
          <w:p w:rsidR="00455808" w:rsidRPr="00073211" w:rsidRDefault="00455808" w:rsidP="0014231A">
            <w:pPr>
              <w:keepNext/>
              <w:spacing w:before="0" w:after="0" w:line="240" w:lineRule="auto"/>
              <w:jc w:val="right"/>
              <w:rPr>
                <w:rFonts w:ascii="Calibri" w:eastAsia="Times New Roman" w:hAnsi="Calibri" w:cs="Times New Roman"/>
                <w:color w:val="404040"/>
                <w:lang w:eastAsia="cs-CZ"/>
              </w:rPr>
            </w:pPr>
            <w:r w:rsidRPr="00073211">
              <w:rPr>
                <w:rFonts w:ascii="Calibri" w:eastAsia="Times New Roman" w:hAnsi="Calibri" w:cs="Times New Roman"/>
                <w:color w:val="404040"/>
                <w:lang w:eastAsia="cs-CZ"/>
              </w:rPr>
              <w:t>2%</w:t>
            </w:r>
          </w:p>
        </w:tc>
      </w:tr>
    </w:tbl>
    <w:p w:rsidR="005F5B4E" w:rsidRPr="00B62B45" w:rsidRDefault="005F5B4E" w:rsidP="005F5B4E">
      <w:pPr>
        <w:pStyle w:val="Titulek"/>
        <w:rPr>
          <w:lang w:eastAsia="cs-CZ"/>
        </w:rPr>
      </w:pPr>
      <w:bookmarkStart w:id="13" w:name="_Toc410924313"/>
      <w:r>
        <w:t xml:space="preserve">Tabulka </w:t>
      </w:r>
      <w:r w:rsidR="00297831">
        <w:fldChar w:fldCharType="begin"/>
      </w:r>
      <w:r w:rsidR="00297831">
        <w:instrText xml:space="preserve"> SEQ Tabulka \* ARABIC </w:instrText>
      </w:r>
      <w:r w:rsidR="00297831">
        <w:fldChar w:fldCharType="separate"/>
      </w:r>
      <w:r w:rsidR="00297831">
        <w:rPr>
          <w:noProof/>
        </w:rPr>
        <w:t>5</w:t>
      </w:r>
      <w:r w:rsidR="00297831">
        <w:rPr>
          <w:noProof/>
        </w:rPr>
        <w:fldChar w:fldCharType="end"/>
      </w:r>
      <w:r>
        <w:t xml:space="preserve"> - Doprava a ubytování</w:t>
      </w:r>
      <w:bookmarkEnd w:id="13"/>
    </w:p>
    <w:p w:rsidR="001825DF" w:rsidRDefault="001825DF" w:rsidP="00D34A5F">
      <w:pPr>
        <w:pStyle w:val="Nadpis3"/>
      </w:pPr>
      <w:bookmarkStart w:id="14" w:name="_Toc411438725"/>
      <w:bookmarkStart w:id="15" w:name="_Toc410917256"/>
      <w:bookmarkStart w:id="16" w:name="_Toc410917254"/>
      <w:r>
        <w:t>ICT komodity</w:t>
      </w:r>
      <w:bookmarkEnd w:id="14"/>
    </w:p>
    <w:p w:rsidR="007164C0" w:rsidRDefault="007164C0" w:rsidP="001825DF">
      <w:pPr>
        <w:rPr>
          <w:lang w:eastAsia="cs-CZ"/>
        </w:rPr>
      </w:pPr>
      <w:r>
        <w:rPr>
          <w:lang w:eastAsia="cs-CZ"/>
        </w:rPr>
        <w:t>Skupina</w:t>
      </w:r>
      <w:r w:rsidR="00B33D5D">
        <w:rPr>
          <w:lang w:eastAsia="cs-CZ"/>
        </w:rPr>
        <w:t xml:space="preserve"> ICT vybavení tvoří 3</w:t>
      </w:r>
      <w:r w:rsidR="001825DF">
        <w:rPr>
          <w:lang w:eastAsia="cs-CZ"/>
        </w:rPr>
        <w:t xml:space="preserve">% </w:t>
      </w:r>
      <w:r w:rsidR="00D34A5F">
        <w:rPr>
          <w:lang w:eastAsia="cs-CZ"/>
        </w:rPr>
        <w:t>celkových výdajů v komoditní analýze</w:t>
      </w:r>
      <w:r w:rsidR="001825DF">
        <w:rPr>
          <w:lang w:eastAsia="cs-CZ"/>
        </w:rPr>
        <w:t xml:space="preserve">. Jde zejména o výdaje na telekomunikační služby, na které byly </w:t>
      </w:r>
      <w:r>
        <w:rPr>
          <w:lang w:eastAsia="cs-CZ"/>
        </w:rPr>
        <w:t>vystaveny</w:t>
      </w:r>
      <w:r w:rsidR="001825DF">
        <w:rPr>
          <w:lang w:eastAsia="cs-CZ"/>
        </w:rPr>
        <w:t xml:space="preserve"> faktury za 374 mil. Kč. Za faktury na počítače a mobilní telefony bylo celkem vydáno 160 mil. Kč.</w:t>
      </w:r>
    </w:p>
    <w:p w:rsidR="00B704E7" w:rsidRDefault="007164C0" w:rsidP="001825DF">
      <w:pPr>
        <w:rPr>
          <w:lang w:eastAsia="cs-CZ"/>
        </w:rPr>
      </w:pPr>
      <w:r>
        <w:rPr>
          <w:lang w:eastAsia="cs-CZ"/>
        </w:rPr>
        <w:t xml:space="preserve">Ve skupině je </w:t>
      </w:r>
      <w:r w:rsidR="00C24ED0">
        <w:rPr>
          <w:lang w:eastAsia="cs-CZ"/>
        </w:rPr>
        <w:t xml:space="preserve">5 467 faktur, průměrná </w:t>
      </w:r>
      <w:r w:rsidR="00CC1FEE">
        <w:rPr>
          <w:lang w:eastAsia="cs-CZ"/>
        </w:rPr>
        <w:t xml:space="preserve">výše </w:t>
      </w:r>
      <w:r w:rsidR="00C24ED0">
        <w:rPr>
          <w:lang w:eastAsia="cs-CZ"/>
        </w:rPr>
        <w:t xml:space="preserve">faktury </w:t>
      </w:r>
      <w:r>
        <w:rPr>
          <w:lang w:eastAsia="cs-CZ"/>
        </w:rPr>
        <w:t>je</w:t>
      </w:r>
      <w:r w:rsidR="00C24ED0">
        <w:rPr>
          <w:lang w:eastAsia="cs-CZ"/>
        </w:rPr>
        <w:t xml:space="preserve"> 98 tis. Kč a medián 4 tis. Kč.</w:t>
      </w:r>
      <w:r w:rsidR="00B16C8D" w:rsidRPr="00B16C8D">
        <w:rPr>
          <w:lang w:eastAsia="cs-CZ"/>
        </w:rPr>
        <w:t xml:space="preserve"> </w:t>
      </w:r>
      <w:r w:rsidR="00B16C8D">
        <w:rPr>
          <w:lang w:eastAsia="cs-CZ"/>
        </w:rPr>
        <w:t xml:space="preserve">Výdaje byly rozděleny mezi 139 dodavatelů, což činí průměrně </w:t>
      </w:r>
      <w:r w:rsidR="004A47ED">
        <w:rPr>
          <w:lang w:eastAsia="cs-CZ"/>
        </w:rPr>
        <w:t>39,3</w:t>
      </w:r>
      <w:r w:rsidR="00B16C8D">
        <w:rPr>
          <w:lang w:eastAsia="cs-CZ"/>
        </w:rPr>
        <w:t xml:space="preserve"> faktur </w:t>
      </w:r>
      <w:r w:rsidR="00906A67">
        <w:rPr>
          <w:lang w:eastAsia="cs-CZ"/>
        </w:rPr>
        <w:t xml:space="preserve">a 3,8 mil. Kč </w:t>
      </w:r>
      <w:r w:rsidR="00B16C8D">
        <w:rPr>
          <w:lang w:eastAsia="cs-CZ"/>
        </w:rPr>
        <w:t>na dodavatele.</w:t>
      </w: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6521"/>
        <w:gridCol w:w="1995"/>
        <w:gridCol w:w="696"/>
      </w:tblGrid>
      <w:tr w:rsidR="00455808" w:rsidRPr="001825DF" w:rsidTr="00455808">
        <w:trPr>
          <w:trHeight w:val="300"/>
        </w:trPr>
        <w:tc>
          <w:tcPr>
            <w:tcW w:w="3539" w:type="pct"/>
            <w:shd w:val="clear" w:color="000000" w:fill="2DB9FF"/>
            <w:noWrap/>
            <w:vAlign w:val="center"/>
            <w:hideMark/>
          </w:tcPr>
          <w:p w:rsidR="00455808" w:rsidRPr="001825DF" w:rsidRDefault="00455808" w:rsidP="005B28F5">
            <w:pPr>
              <w:keepNext/>
              <w:spacing w:before="0" w:after="0" w:line="240" w:lineRule="auto"/>
              <w:jc w:val="left"/>
              <w:rPr>
                <w:rFonts w:ascii="Calibri" w:eastAsia="Times New Roman" w:hAnsi="Calibri" w:cs="Times New Roman"/>
                <w:b/>
                <w:bCs/>
                <w:color w:val="FFFFFF"/>
                <w:szCs w:val="22"/>
                <w:lang w:eastAsia="cs-CZ"/>
              </w:rPr>
            </w:pPr>
            <w:r w:rsidRPr="001825DF">
              <w:rPr>
                <w:rFonts w:ascii="Calibri" w:eastAsia="Times New Roman" w:hAnsi="Calibri" w:cs="Times New Roman"/>
                <w:b/>
                <w:bCs/>
                <w:color w:val="FFFFFF"/>
                <w:szCs w:val="22"/>
                <w:lang w:eastAsia="cs-CZ"/>
              </w:rPr>
              <w:t>ICT komodity</w:t>
            </w:r>
          </w:p>
        </w:tc>
        <w:tc>
          <w:tcPr>
            <w:tcW w:w="1083" w:type="pct"/>
            <w:shd w:val="clear" w:color="000000" w:fill="2DB9FF"/>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b/>
                <w:bCs/>
                <w:color w:val="FFFFFF"/>
                <w:szCs w:val="22"/>
                <w:lang w:eastAsia="cs-CZ"/>
              </w:rPr>
            </w:pPr>
            <w:r w:rsidRPr="001825DF">
              <w:rPr>
                <w:rFonts w:ascii="Calibri" w:eastAsia="Times New Roman" w:hAnsi="Calibri" w:cs="Times New Roman"/>
                <w:b/>
                <w:bCs/>
                <w:color w:val="FFFFFF"/>
                <w:szCs w:val="22"/>
                <w:lang w:eastAsia="cs-CZ"/>
              </w:rPr>
              <w:t>535 mil. Kč</w:t>
            </w:r>
          </w:p>
        </w:tc>
        <w:tc>
          <w:tcPr>
            <w:tcW w:w="378" w:type="pct"/>
            <w:shd w:val="clear" w:color="000000" w:fill="2DB9FF"/>
            <w:noWrap/>
            <w:vAlign w:val="center"/>
            <w:hideMark/>
          </w:tcPr>
          <w:p w:rsidR="00455808" w:rsidRPr="00455808" w:rsidRDefault="00455808" w:rsidP="00455808">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455808" w:rsidRPr="001825DF" w:rsidTr="00455808">
        <w:trPr>
          <w:trHeight w:val="300"/>
        </w:trPr>
        <w:tc>
          <w:tcPr>
            <w:tcW w:w="3539" w:type="pct"/>
            <w:shd w:val="clear" w:color="000000" w:fill="D5F1FF"/>
            <w:noWrap/>
            <w:vAlign w:val="center"/>
            <w:hideMark/>
          </w:tcPr>
          <w:p w:rsidR="00455808" w:rsidRPr="001825DF" w:rsidRDefault="00455808" w:rsidP="005B28F5">
            <w:pPr>
              <w:keepNext/>
              <w:spacing w:before="0" w:after="0" w:line="240" w:lineRule="auto"/>
              <w:jc w:val="lef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Služby</w:t>
            </w:r>
          </w:p>
        </w:tc>
        <w:tc>
          <w:tcPr>
            <w:tcW w:w="1083" w:type="pct"/>
            <w:shd w:val="clear" w:color="000000" w:fill="D5F1FF"/>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374 mil. Kč</w:t>
            </w:r>
          </w:p>
        </w:tc>
        <w:tc>
          <w:tcPr>
            <w:tcW w:w="378" w:type="pct"/>
            <w:shd w:val="clear" w:color="000000" w:fill="D5F1FF"/>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70%</w:t>
            </w:r>
          </w:p>
        </w:tc>
      </w:tr>
      <w:tr w:rsidR="00455808" w:rsidRPr="001825DF" w:rsidTr="00455808">
        <w:trPr>
          <w:trHeight w:val="300"/>
        </w:trPr>
        <w:tc>
          <w:tcPr>
            <w:tcW w:w="3539" w:type="pct"/>
            <w:shd w:val="clear" w:color="auto" w:fill="auto"/>
            <w:noWrap/>
            <w:vAlign w:val="center"/>
            <w:hideMark/>
          </w:tcPr>
          <w:p w:rsidR="00455808" w:rsidRPr="001825DF" w:rsidRDefault="00455808" w:rsidP="005B28F5">
            <w:pPr>
              <w:keepNext/>
              <w:spacing w:before="0" w:after="0" w:line="240" w:lineRule="auto"/>
              <w:jc w:val="lef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Telekomunikační služby a Internetové služby</w:t>
            </w:r>
          </w:p>
        </w:tc>
        <w:tc>
          <w:tcPr>
            <w:tcW w:w="1083"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374 mil. Kč</w:t>
            </w:r>
          </w:p>
        </w:tc>
        <w:tc>
          <w:tcPr>
            <w:tcW w:w="378"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0C0C0C"/>
                <w:lang w:eastAsia="cs-CZ"/>
              </w:rPr>
            </w:pPr>
            <w:r w:rsidRPr="001825DF">
              <w:rPr>
                <w:rFonts w:ascii="Calibri" w:eastAsia="Times New Roman" w:hAnsi="Calibri" w:cs="Times New Roman"/>
                <w:color w:val="0C0C0C"/>
                <w:lang w:eastAsia="cs-CZ"/>
              </w:rPr>
              <w:t>70%</w:t>
            </w:r>
          </w:p>
        </w:tc>
      </w:tr>
      <w:tr w:rsidR="00455808" w:rsidRPr="001825DF" w:rsidTr="00455808">
        <w:trPr>
          <w:trHeight w:val="300"/>
        </w:trPr>
        <w:tc>
          <w:tcPr>
            <w:tcW w:w="3539" w:type="pct"/>
            <w:shd w:val="clear" w:color="000000" w:fill="D5F1FF"/>
            <w:noWrap/>
            <w:vAlign w:val="center"/>
            <w:hideMark/>
          </w:tcPr>
          <w:p w:rsidR="00455808" w:rsidRPr="001825DF" w:rsidRDefault="00455808" w:rsidP="005B28F5">
            <w:pPr>
              <w:keepNext/>
              <w:spacing w:before="0" w:after="0" w:line="240" w:lineRule="auto"/>
              <w:jc w:val="lef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Hardware</w:t>
            </w:r>
          </w:p>
        </w:tc>
        <w:tc>
          <w:tcPr>
            <w:tcW w:w="1083" w:type="pct"/>
            <w:shd w:val="clear" w:color="000000" w:fill="D5F1FF"/>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160 mil. Kč</w:t>
            </w:r>
          </w:p>
        </w:tc>
        <w:tc>
          <w:tcPr>
            <w:tcW w:w="378" w:type="pct"/>
            <w:shd w:val="clear" w:color="000000" w:fill="D5F1FF"/>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b/>
                <w:bCs/>
                <w:color w:val="0C0C0C"/>
                <w:lang w:eastAsia="cs-CZ"/>
              </w:rPr>
            </w:pPr>
            <w:r w:rsidRPr="001825DF">
              <w:rPr>
                <w:rFonts w:ascii="Calibri" w:eastAsia="Times New Roman" w:hAnsi="Calibri" w:cs="Times New Roman"/>
                <w:b/>
                <w:bCs/>
                <w:color w:val="0C0C0C"/>
                <w:lang w:eastAsia="cs-CZ"/>
              </w:rPr>
              <w:t>30%</w:t>
            </w:r>
          </w:p>
        </w:tc>
      </w:tr>
      <w:tr w:rsidR="00455808" w:rsidRPr="001825DF" w:rsidTr="00455808">
        <w:trPr>
          <w:trHeight w:val="300"/>
        </w:trPr>
        <w:tc>
          <w:tcPr>
            <w:tcW w:w="3539" w:type="pct"/>
            <w:shd w:val="clear" w:color="auto" w:fill="auto"/>
            <w:noWrap/>
            <w:vAlign w:val="center"/>
            <w:hideMark/>
          </w:tcPr>
          <w:p w:rsidR="00455808" w:rsidRPr="001825DF" w:rsidRDefault="00455808" w:rsidP="005B28F5">
            <w:pPr>
              <w:keepNext/>
              <w:spacing w:before="0" w:after="0" w:line="240" w:lineRule="auto"/>
              <w:jc w:val="lef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Počítače a stroje na zpracování dat a datová média</w:t>
            </w:r>
          </w:p>
        </w:tc>
        <w:tc>
          <w:tcPr>
            <w:tcW w:w="1083"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156 mil. Kč</w:t>
            </w:r>
          </w:p>
        </w:tc>
        <w:tc>
          <w:tcPr>
            <w:tcW w:w="378"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0C0C0C"/>
                <w:lang w:eastAsia="cs-CZ"/>
              </w:rPr>
            </w:pPr>
            <w:r w:rsidRPr="001825DF">
              <w:rPr>
                <w:rFonts w:ascii="Calibri" w:eastAsia="Times New Roman" w:hAnsi="Calibri" w:cs="Times New Roman"/>
                <w:color w:val="0C0C0C"/>
                <w:lang w:eastAsia="cs-CZ"/>
              </w:rPr>
              <w:t>29%</w:t>
            </w:r>
          </w:p>
        </w:tc>
      </w:tr>
      <w:tr w:rsidR="00455808" w:rsidRPr="001825DF" w:rsidTr="00455808">
        <w:trPr>
          <w:trHeight w:val="300"/>
        </w:trPr>
        <w:tc>
          <w:tcPr>
            <w:tcW w:w="3539" w:type="pct"/>
            <w:shd w:val="clear" w:color="auto" w:fill="auto"/>
            <w:noWrap/>
            <w:vAlign w:val="center"/>
            <w:hideMark/>
          </w:tcPr>
          <w:p w:rsidR="00455808" w:rsidRPr="001825DF" w:rsidRDefault="00455808" w:rsidP="005B28F5">
            <w:pPr>
              <w:keepNext/>
              <w:spacing w:before="0" w:after="0" w:line="240" w:lineRule="auto"/>
              <w:jc w:val="lef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Mobilní telefony a příslušenství</w:t>
            </w:r>
          </w:p>
        </w:tc>
        <w:tc>
          <w:tcPr>
            <w:tcW w:w="1083"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4 mil. Kč</w:t>
            </w:r>
          </w:p>
        </w:tc>
        <w:tc>
          <w:tcPr>
            <w:tcW w:w="378"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0C0C0C"/>
                <w:lang w:eastAsia="cs-CZ"/>
              </w:rPr>
            </w:pPr>
            <w:r w:rsidRPr="001825DF">
              <w:rPr>
                <w:rFonts w:ascii="Calibri" w:eastAsia="Times New Roman" w:hAnsi="Calibri" w:cs="Times New Roman"/>
                <w:color w:val="0C0C0C"/>
                <w:lang w:eastAsia="cs-CZ"/>
              </w:rPr>
              <w:t>1%</w:t>
            </w:r>
          </w:p>
        </w:tc>
      </w:tr>
      <w:tr w:rsidR="00455808" w:rsidRPr="001825DF" w:rsidTr="00455808">
        <w:trPr>
          <w:trHeight w:val="300"/>
        </w:trPr>
        <w:tc>
          <w:tcPr>
            <w:tcW w:w="3539" w:type="pct"/>
            <w:shd w:val="clear" w:color="auto" w:fill="auto"/>
            <w:noWrap/>
            <w:vAlign w:val="center"/>
            <w:hideMark/>
          </w:tcPr>
          <w:p w:rsidR="00455808" w:rsidRPr="001825DF" w:rsidRDefault="00455808" w:rsidP="005B28F5">
            <w:pPr>
              <w:keepNext/>
              <w:spacing w:before="0" w:after="0" w:line="240" w:lineRule="auto"/>
              <w:jc w:val="lef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Přístroje a zařízení pro radiokomunikace</w:t>
            </w:r>
          </w:p>
        </w:tc>
        <w:tc>
          <w:tcPr>
            <w:tcW w:w="1083"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404040"/>
                <w:lang w:eastAsia="cs-CZ"/>
              </w:rPr>
            </w:pPr>
            <w:r w:rsidRPr="001825DF">
              <w:rPr>
                <w:rFonts w:ascii="Calibri" w:eastAsia="Times New Roman" w:hAnsi="Calibri" w:cs="Times New Roman"/>
                <w:color w:val="404040"/>
                <w:lang w:eastAsia="cs-CZ"/>
              </w:rPr>
              <w:t>1 mil. Kč</w:t>
            </w:r>
          </w:p>
        </w:tc>
        <w:tc>
          <w:tcPr>
            <w:tcW w:w="378" w:type="pct"/>
            <w:shd w:val="clear" w:color="auto" w:fill="auto"/>
            <w:noWrap/>
            <w:vAlign w:val="center"/>
            <w:hideMark/>
          </w:tcPr>
          <w:p w:rsidR="00455808" w:rsidRPr="001825DF" w:rsidRDefault="00455808" w:rsidP="005B28F5">
            <w:pPr>
              <w:keepNext/>
              <w:spacing w:before="0" w:after="0" w:line="240" w:lineRule="auto"/>
              <w:jc w:val="right"/>
              <w:rPr>
                <w:rFonts w:ascii="Calibri" w:eastAsia="Times New Roman" w:hAnsi="Calibri" w:cs="Times New Roman"/>
                <w:color w:val="0C0C0C"/>
                <w:lang w:eastAsia="cs-CZ"/>
              </w:rPr>
            </w:pPr>
            <w:r w:rsidRPr="001825DF">
              <w:rPr>
                <w:rFonts w:ascii="Calibri" w:eastAsia="Times New Roman" w:hAnsi="Calibri" w:cs="Times New Roman"/>
                <w:color w:val="0C0C0C"/>
                <w:lang w:eastAsia="cs-CZ"/>
              </w:rPr>
              <w:t>0%</w:t>
            </w:r>
          </w:p>
        </w:tc>
      </w:tr>
    </w:tbl>
    <w:p w:rsidR="001825DF" w:rsidRDefault="001825DF" w:rsidP="001825DF">
      <w:pPr>
        <w:pStyle w:val="Titulek"/>
        <w:rPr>
          <w:lang w:eastAsia="cs-CZ"/>
        </w:rPr>
      </w:pPr>
      <w:bookmarkStart w:id="17" w:name="_Toc410924311"/>
      <w:r>
        <w:t xml:space="preserve">Tabulka </w:t>
      </w:r>
      <w:r w:rsidR="00297831">
        <w:fldChar w:fldCharType="begin"/>
      </w:r>
      <w:r w:rsidR="00297831">
        <w:instrText xml:space="preserve"> SEQ Tabulka \* ARABIC </w:instrText>
      </w:r>
      <w:r w:rsidR="00297831">
        <w:fldChar w:fldCharType="separate"/>
      </w:r>
      <w:r w:rsidR="00297831">
        <w:rPr>
          <w:noProof/>
        </w:rPr>
        <w:t>6</w:t>
      </w:r>
      <w:r w:rsidR="00297831">
        <w:rPr>
          <w:noProof/>
        </w:rPr>
        <w:fldChar w:fldCharType="end"/>
      </w:r>
      <w:r>
        <w:t xml:space="preserve"> - ICT komodity</w:t>
      </w:r>
      <w:bookmarkEnd w:id="17"/>
    </w:p>
    <w:p w:rsidR="005F5B4E" w:rsidRDefault="00B33D5D" w:rsidP="00D34A5F">
      <w:pPr>
        <w:pStyle w:val="Nadpis3"/>
      </w:pPr>
      <w:bookmarkStart w:id="18" w:name="_Toc411438726"/>
      <w:r>
        <w:lastRenderedPageBreak/>
        <w:t>Vozový park</w:t>
      </w:r>
      <w:r w:rsidR="005F5B4E">
        <w:t xml:space="preserve"> a pohonné hmoty</w:t>
      </w:r>
      <w:bookmarkEnd w:id="15"/>
      <w:bookmarkEnd w:id="18"/>
    </w:p>
    <w:p w:rsidR="007164C0" w:rsidRDefault="005F5B4E" w:rsidP="004A47ED">
      <w:pPr>
        <w:rPr>
          <w:lang w:eastAsia="cs-CZ"/>
        </w:rPr>
      </w:pPr>
      <w:r>
        <w:rPr>
          <w:lang w:eastAsia="cs-CZ"/>
        </w:rPr>
        <w:t xml:space="preserve">Na </w:t>
      </w:r>
      <w:r w:rsidR="00B33D5D">
        <w:rPr>
          <w:lang w:eastAsia="cs-CZ"/>
        </w:rPr>
        <w:t>vozový park</w:t>
      </w:r>
      <w:r>
        <w:rPr>
          <w:lang w:eastAsia="cs-CZ"/>
        </w:rPr>
        <w:t xml:space="preserve"> a pohonné hmoty bylo fakturováno </w:t>
      </w:r>
      <w:r w:rsidR="00B33D5D">
        <w:rPr>
          <w:lang w:eastAsia="cs-CZ"/>
        </w:rPr>
        <w:t>2</w:t>
      </w:r>
      <w:r>
        <w:rPr>
          <w:lang w:eastAsia="cs-CZ"/>
        </w:rPr>
        <w:t>% finančního objemu faktur. Nejvíce z toho, 282 mil. Kč bylo fakturováno za pohonné hmoty. Dalších 117 mil. Kč bylo fakturováno za údržbu, opravy a</w:t>
      </w:r>
      <w:r w:rsidR="006A4EF0">
        <w:rPr>
          <w:lang w:eastAsia="cs-CZ"/>
        </w:rPr>
        <w:t> </w:t>
      </w:r>
      <w:r>
        <w:rPr>
          <w:lang w:eastAsia="cs-CZ"/>
        </w:rPr>
        <w:t>náhradní díly motorových vozidel. Za silniční motorová vozidla bylo faktu</w:t>
      </w:r>
      <w:r w:rsidR="00DA41E5">
        <w:rPr>
          <w:lang w:eastAsia="cs-CZ"/>
        </w:rPr>
        <w:softHyphen/>
      </w:r>
      <w:r>
        <w:rPr>
          <w:lang w:eastAsia="cs-CZ"/>
        </w:rPr>
        <w:t>ro</w:t>
      </w:r>
      <w:r w:rsidR="00DA41E5">
        <w:rPr>
          <w:lang w:eastAsia="cs-CZ"/>
        </w:rPr>
        <w:softHyphen/>
      </w:r>
      <w:r>
        <w:rPr>
          <w:lang w:eastAsia="cs-CZ"/>
        </w:rPr>
        <w:t xml:space="preserve">váno </w:t>
      </w:r>
      <w:r w:rsidR="004F55D6">
        <w:rPr>
          <w:lang w:eastAsia="cs-CZ"/>
        </w:rPr>
        <w:t>26</w:t>
      </w:r>
      <w:r>
        <w:rPr>
          <w:lang w:eastAsia="cs-CZ"/>
        </w:rPr>
        <w:t xml:space="preserve"> mil. Kč a za pronájem dopravních prostředků 15 mil. Kč. Dohromady tedy bylo za obno</w:t>
      </w:r>
      <w:r w:rsidR="00DA41E5">
        <w:rPr>
          <w:lang w:eastAsia="cs-CZ"/>
        </w:rPr>
        <w:softHyphen/>
      </w:r>
      <w:r>
        <w:rPr>
          <w:lang w:eastAsia="cs-CZ"/>
        </w:rPr>
        <w:t>vu a pronájem vozovéh</w:t>
      </w:r>
      <w:r w:rsidR="007164C0">
        <w:rPr>
          <w:lang w:eastAsia="cs-CZ"/>
        </w:rPr>
        <w:t>o parku fakturováno 41 mil. Kč.</w:t>
      </w:r>
    </w:p>
    <w:p w:rsidR="005F5B4E" w:rsidRDefault="007164C0" w:rsidP="005F5B4E">
      <w:pPr>
        <w:rPr>
          <w:lang w:eastAsia="cs-CZ"/>
        </w:rPr>
      </w:pPr>
      <w:r>
        <w:rPr>
          <w:lang w:eastAsia="cs-CZ"/>
        </w:rPr>
        <w:t>Ve skupině</w:t>
      </w:r>
      <w:r w:rsidR="00C24ED0">
        <w:rPr>
          <w:lang w:eastAsia="cs-CZ"/>
        </w:rPr>
        <w:t xml:space="preserve"> </w:t>
      </w:r>
      <w:r>
        <w:rPr>
          <w:lang w:eastAsia="cs-CZ"/>
        </w:rPr>
        <w:t>je celkem</w:t>
      </w:r>
      <w:r w:rsidR="00C24ED0">
        <w:rPr>
          <w:lang w:eastAsia="cs-CZ"/>
        </w:rPr>
        <w:t xml:space="preserve"> 7 496 faktur, průměrná </w:t>
      </w:r>
      <w:r w:rsidR="00CC1FEE">
        <w:rPr>
          <w:lang w:eastAsia="cs-CZ"/>
        </w:rPr>
        <w:t>výše</w:t>
      </w:r>
      <w:r w:rsidR="00C24ED0">
        <w:rPr>
          <w:lang w:eastAsia="cs-CZ"/>
        </w:rPr>
        <w:t xml:space="preserve"> faktury </w:t>
      </w:r>
      <w:r>
        <w:rPr>
          <w:lang w:eastAsia="cs-CZ"/>
        </w:rPr>
        <w:t>je</w:t>
      </w:r>
      <w:r w:rsidR="00C24ED0">
        <w:rPr>
          <w:lang w:eastAsia="cs-CZ"/>
        </w:rPr>
        <w:t xml:space="preserve"> 60 tis. Kč a medián 7 tis. Kč.</w:t>
      </w:r>
      <w:r w:rsidR="00B16C8D">
        <w:rPr>
          <w:lang w:eastAsia="cs-CZ"/>
        </w:rPr>
        <w:t xml:space="preserve"> </w:t>
      </w:r>
      <w:r w:rsidR="004A47ED">
        <w:rPr>
          <w:lang w:eastAsia="cs-CZ"/>
        </w:rPr>
        <w:t xml:space="preserve">Faktury byly </w:t>
      </w:r>
      <w:r>
        <w:rPr>
          <w:lang w:eastAsia="cs-CZ"/>
        </w:rPr>
        <w:t>vystaveny</w:t>
      </w:r>
      <w:r w:rsidR="004A47ED">
        <w:rPr>
          <w:lang w:eastAsia="cs-CZ"/>
        </w:rPr>
        <w:t xml:space="preserve"> 186 </w:t>
      </w:r>
      <w:r>
        <w:rPr>
          <w:lang w:eastAsia="cs-CZ"/>
        </w:rPr>
        <w:t>dodavateli</w:t>
      </w:r>
      <w:r w:rsidR="004A47ED">
        <w:rPr>
          <w:lang w:eastAsia="cs-CZ"/>
        </w:rPr>
        <w:t xml:space="preserve">, což činí průměrně 40,3 faktur </w:t>
      </w:r>
      <w:r w:rsidR="00906A67">
        <w:rPr>
          <w:lang w:eastAsia="cs-CZ"/>
        </w:rPr>
        <w:t xml:space="preserve">a 2,4 mil. Kč </w:t>
      </w:r>
      <w:r w:rsidR="004A47ED">
        <w:rPr>
          <w:lang w:eastAsia="cs-CZ"/>
        </w:rPr>
        <w:t>na dodavatele.</w:t>
      </w: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6521"/>
        <w:gridCol w:w="1995"/>
        <w:gridCol w:w="696"/>
      </w:tblGrid>
      <w:tr w:rsidR="00455808" w:rsidRPr="0089122F" w:rsidTr="00117873">
        <w:trPr>
          <w:trHeight w:val="300"/>
        </w:trPr>
        <w:tc>
          <w:tcPr>
            <w:tcW w:w="3539" w:type="pct"/>
            <w:shd w:val="clear" w:color="000000" w:fill="2DB9FF"/>
            <w:noWrap/>
            <w:vAlign w:val="center"/>
            <w:hideMark/>
          </w:tcPr>
          <w:p w:rsidR="00455808" w:rsidRPr="0089122F" w:rsidRDefault="00455808" w:rsidP="0014231A">
            <w:pPr>
              <w:keepNext/>
              <w:spacing w:before="0" w:after="0" w:line="240" w:lineRule="auto"/>
              <w:jc w:val="left"/>
              <w:rPr>
                <w:rFonts w:ascii="Calibri" w:eastAsia="Times New Roman" w:hAnsi="Calibri" w:cs="Times New Roman"/>
                <w:b/>
                <w:bCs/>
                <w:color w:val="FFFFFF"/>
                <w:szCs w:val="22"/>
                <w:lang w:eastAsia="cs-CZ"/>
              </w:rPr>
            </w:pPr>
            <w:r w:rsidRPr="0089122F">
              <w:rPr>
                <w:rFonts w:ascii="Calibri" w:eastAsia="Segoe UI Semibold" w:hAnsi="Calibri" w:cs="Segoe UI Semibold"/>
                <w:b/>
                <w:bCs/>
                <w:color w:val="FFFFFF"/>
                <w:szCs w:val="22"/>
                <w:lang w:eastAsia="cs-CZ"/>
              </w:rPr>
              <w:t>Automobily a pohonné hmoty</w:t>
            </w:r>
          </w:p>
        </w:tc>
        <w:tc>
          <w:tcPr>
            <w:tcW w:w="1083" w:type="pct"/>
            <w:shd w:val="clear" w:color="000000" w:fill="2DB9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bCs/>
                <w:color w:val="FFFFFF"/>
                <w:szCs w:val="22"/>
                <w:lang w:eastAsia="cs-CZ"/>
              </w:rPr>
            </w:pPr>
            <w:r w:rsidRPr="0089122F">
              <w:rPr>
                <w:rFonts w:ascii="Calibri" w:eastAsia="Times New Roman" w:hAnsi="Calibri" w:cs="Times New Roman"/>
                <w:b/>
                <w:bCs/>
                <w:color w:val="FFFFFF"/>
                <w:szCs w:val="22"/>
                <w:lang w:eastAsia="cs-CZ"/>
              </w:rPr>
              <w:t>452 mil. Kč</w:t>
            </w:r>
          </w:p>
        </w:tc>
        <w:tc>
          <w:tcPr>
            <w:tcW w:w="378" w:type="pct"/>
            <w:shd w:val="clear" w:color="000000" w:fill="2DB9FF"/>
            <w:noWrap/>
            <w:vAlign w:val="center"/>
            <w:hideMark/>
          </w:tcPr>
          <w:p w:rsidR="00455808" w:rsidRPr="00455808" w:rsidRDefault="00455808" w:rsidP="00455808">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455808" w:rsidRPr="0089122F" w:rsidTr="00117873">
        <w:trPr>
          <w:trHeight w:val="300"/>
        </w:trPr>
        <w:tc>
          <w:tcPr>
            <w:tcW w:w="3539" w:type="pct"/>
            <w:shd w:val="clear" w:color="000000" w:fill="D5F1FF"/>
            <w:noWrap/>
            <w:vAlign w:val="center"/>
            <w:hideMark/>
          </w:tcPr>
          <w:p w:rsidR="00455808" w:rsidRPr="0089122F" w:rsidRDefault="00455808" w:rsidP="0014231A">
            <w:pPr>
              <w:keepNext/>
              <w:spacing w:before="0" w:after="0" w:line="240" w:lineRule="auto"/>
              <w:jc w:val="lef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Pohonné hmoty</w:t>
            </w:r>
          </w:p>
        </w:tc>
        <w:tc>
          <w:tcPr>
            <w:tcW w:w="1083"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282 mil. Kč</w:t>
            </w:r>
          </w:p>
        </w:tc>
        <w:tc>
          <w:tcPr>
            <w:tcW w:w="378"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color w:val="404040"/>
                <w:lang w:eastAsia="cs-CZ"/>
              </w:rPr>
            </w:pPr>
            <w:r w:rsidRPr="0089122F">
              <w:rPr>
                <w:rFonts w:ascii="Calibri" w:eastAsia="Times New Roman" w:hAnsi="Calibri" w:cs="Times New Roman"/>
                <w:b/>
                <w:color w:val="404040"/>
                <w:lang w:eastAsia="cs-CZ"/>
              </w:rPr>
              <w:t>62%</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Pohonné hmoty a maziva</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282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62%</w:t>
            </w:r>
          </w:p>
        </w:tc>
      </w:tr>
      <w:tr w:rsidR="00455808" w:rsidRPr="0089122F" w:rsidTr="00117873">
        <w:trPr>
          <w:trHeight w:val="300"/>
        </w:trPr>
        <w:tc>
          <w:tcPr>
            <w:tcW w:w="3539" w:type="pct"/>
            <w:shd w:val="clear" w:color="000000" w:fill="D5F1FF"/>
            <w:noWrap/>
            <w:vAlign w:val="center"/>
            <w:hideMark/>
          </w:tcPr>
          <w:p w:rsidR="00455808" w:rsidRPr="0089122F" w:rsidRDefault="00455808" w:rsidP="0014231A">
            <w:pPr>
              <w:keepNext/>
              <w:spacing w:before="0" w:after="0" w:line="240" w:lineRule="auto"/>
              <w:jc w:val="lef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Servis</w:t>
            </w:r>
          </w:p>
        </w:tc>
        <w:tc>
          <w:tcPr>
            <w:tcW w:w="1083"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117 mil. Kč</w:t>
            </w:r>
          </w:p>
        </w:tc>
        <w:tc>
          <w:tcPr>
            <w:tcW w:w="378"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color w:val="404040"/>
                <w:lang w:eastAsia="cs-CZ"/>
              </w:rPr>
            </w:pPr>
            <w:r w:rsidRPr="0089122F">
              <w:rPr>
                <w:rFonts w:ascii="Calibri" w:eastAsia="Times New Roman" w:hAnsi="Calibri" w:cs="Times New Roman"/>
                <w:b/>
                <w:color w:val="404040"/>
                <w:lang w:eastAsia="cs-CZ"/>
              </w:rPr>
              <w:t>26%</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Opravy a údržba motorových vozidel a příslušenství k nim</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78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17%</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Díly a příslušenství pro motorová vozidla</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39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9%</w:t>
            </w:r>
          </w:p>
        </w:tc>
      </w:tr>
      <w:tr w:rsidR="00455808" w:rsidRPr="0089122F" w:rsidTr="00117873">
        <w:trPr>
          <w:trHeight w:val="300"/>
        </w:trPr>
        <w:tc>
          <w:tcPr>
            <w:tcW w:w="3539" w:type="pct"/>
            <w:shd w:val="clear" w:color="000000" w:fill="D5F1FF"/>
            <w:noWrap/>
            <w:vAlign w:val="center"/>
            <w:hideMark/>
          </w:tcPr>
          <w:p w:rsidR="00455808" w:rsidRPr="0089122F" w:rsidRDefault="00455808" w:rsidP="0014231A">
            <w:pPr>
              <w:keepNext/>
              <w:spacing w:before="0" w:after="0" w:line="240" w:lineRule="auto"/>
              <w:jc w:val="lef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Vozidla</w:t>
            </w:r>
          </w:p>
        </w:tc>
        <w:tc>
          <w:tcPr>
            <w:tcW w:w="1083"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bCs/>
                <w:color w:val="0C0C0C"/>
                <w:lang w:eastAsia="cs-CZ"/>
              </w:rPr>
            </w:pPr>
            <w:r w:rsidRPr="0089122F">
              <w:rPr>
                <w:rFonts w:ascii="Calibri" w:eastAsia="Times New Roman" w:hAnsi="Calibri" w:cs="Times New Roman"/>
                <w:b/>
                <w:bCs/>
                <w:color w:val="0C0C0C"/>
                <w:lang w:eastAsia="cs-CZ"/>
              </w:rPr>
              <w:t>53 mil. Kč</w:t>
            </w:r>
          </w:p>
        </w:tc>
        <w:tc>
          <w:tcPr>
            <w:tcW w:w="378" w:type="pct"/>
            <w:shd w:val="clear" w:color="000000" w:fill="D5F1FF"/>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b/>
                <w:color w:val="404040"/>
                <w:lang w:eastAsia="cs-CZ"/>
              </w:rPr>
            </w:pPr>
            <w:r w:rsidRPr="0089122F">
              <w:rPr>
                <w:rFonts w:ascii="Calibri" w:eastAsia="Times New Roman" w:hAnsi="Calibri" w:cs="Times New Roman"/>
                <w:b/>
                <w:color w:val="404040"/>
                <w:lang w:eastAsia="cs-CZ"/>
              </w:rPr>
              <w:t>12%</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Silniční motorová vozidla</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26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6%</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Pronájem dopravních prostředků</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15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3%</w:t>
            </w:r>
          </w:p>
        </w:tc>
      </w:tr>
      <w:tr w:rsidR="00455808" w:rsidRPr="0089122F" w:rsidTr="00117873">
        <w:trPr>
          <w:trHeight w:val="300"/>
        </w:trPr>
        <w:tc>
          <w:tcPr>
            <w:tcW w:w="3539" w:type="pct"/>
            <w:shd w:val="clear" w:color="auto" w:fill="auto"/>
            <w:noWrap/>
            <w:vAlign w:val="center"/>
            <w:hideMark/>
          </w:tcPr>
          <w:p w:rsidR="00455808" w:rsidRPr="0089122F" w:rsidRDefault="00455808" w:rsidP="0014231A">
            <w:pPr>
              <w:keepNext/>
              <w:spacing w:before="0" w:after="0" w:line="240" w:lineRule="auto"/>
              <w:jc w:val="lef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Ostatní dopravní prostředky a zařízení</w:t>
            </w:r>
          </w:p>
        </w:tc>
        <w:tc>
          <w:tcPr>
            <w:tcW w:w="1083"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11 mil. Kč</w:t>
            </w:r>
          </w:p>
        </w:tc>
        <w:tc>
          <w:tcPr>
            <w:tcW w:w="378" w:type="pct"/>
            <w:shd w:val="clear" w:color="auto" w:fill="auto"/>
            <w:noWrap/>
            <w:vAlign w:val="center"/>
            <w:hideMark/>
          </w:tcPr>
          <w:p w:rsidR="00455808" w:rsidRPr="0089122F" w:rsidRDefault="00455808" w:rsidP="0014231A">
            <w:pPr>
              <w:keepNext/>
              <w:spacing w:before="0" w:after="0" w:line="240" w:lineRule="auto"/>
              <w:jc w:val="right"/>
              <w:rPr>
                <w:rFonts w:ascii="Calibri" w:eastAsia="Times New Roman" w:hAnsi="Calibri" w:cs="Times New Roman"/>
                <w:color w:val="404040"/>
                <w:lang w:eastAsia="cs-CZ"/>
              </w:rPr>
            </w:pPr>
            <w:r w:rsidRPr="0089122F">
              <w:rPr>
                <w:rFonts w:ascii="Calibri" w:eastAsia="Times New Roman" w:hAnsi="Calibri" w:cs="Times New Roman"/>
                <w:color w:val="404040"/>
                <w:lang w:eastAsia="cs-CZ"/>
              </w:rPr>
              <w:t>3%</w:t>
            </w:r>
          </w:p>
        </w:tc>
      </w:tr>
    </w:tbl>
    <w:p w:rsidR="005F5B4E" w:rsidRDefault="005F5B4E" w:rsidP="005F5B4E">
      <w:pPr>
        <w:pStyle w:val="Titulek"/>
      </w:pPr>
      <w:bookmarkStart w:id="19" w:name="_Toc410924316"/>
      <w:r>
        <w:t xml:space="preserve">Tabulka </w:t>
      </w:r>
      <w:r w:rsidR="00297831">
        <w:fldChar w:fldCharType="begin"/>
      </w:r>
      <w:r w:rsidR="00297831">
        <w:instrText xml:space="preserve"> SEQ Tabulka \* ARABIC </w:instrText>
      </w:r>
      <w:r w:rsidR="00297831">
        <w:fldChar w:fldCharType="separate"/>
      </w:r>
      <w:r w:rsidR="00297831">
        <w:rPr>
          <w:noProof/>
        </w:rPr>
        <w:t>7</w:t>
      </w:r>
      <w:r w:rsidR="00297831">
        <w:rPr>
          <w:noProof/>
        </w:rPr>
        <w:fldChar w:fldCharType="end"/>
      </w:r>
      <w:r>
        <w:t xml:space="preserve"> - Automobily a pohonné hmoty</w:t>
      </w:r>
      <w:bookmarkEnd w:id="19"/>
    </w:p>
    <w:p w:rsidR="005F5B4E" w:rsidRDefault="005F5B4E" w:rsidP="00D34A5F">
      <w:pPr>
        <w:pStyle w:val="Nadpis3"/>
      </w:pPr>
      <w:bookmarkStart w:id="20" w:name="_Toc411438727"/>
      <w:r>
        <w:t>Kancelářské potřeby, kancelářská technika</w:t>
      </w:r>
      <w:bookmarkEnd w:id="16"/>
      <w:bookmarkEnd w:id="20"/>
    </w:p>
    <w:p w:rsidR="007164C0" w:rsidRDefault="005F5B4E" w:rsidP="005F5B4E">
      <w:pPr>
        <w:rPr>
          <w:lang w:eastAsia="cs-CZ"/>
        </w:rPr>
      </w:pPr>
      <w:r>
        <w:rPr>
          <w:lang w:eastAsia="cs-CZ"/>
        </w:rPr>
        <w:t xml:space="preserve">Na kancelářské potřeby a kancelářskou techniku byly </w:t>
      </w:r>
      <w:r w:rsidR="007164C0">
        <w:rPr>
          <w:lang w:eastAsia="cs-CZ"/>
        </w:rPr>
        <w:t>vystaveny</w:t>
      </w:r>
      <w:r>
        <w:rPr>
          <w:lang w:eastAsia="cs-CZ"/>
        </w:rPr>
        <w:t xml:space="preserve"> faktury za 446 mil. Kč. Více než polovinu z toho tvoří s celkovým objemem 235 mil. Kč tiskařské výrobky. Zbylých 48%, tj. 212 mil. Kč tvoří kancelářské služby, údržba kancelářských strojů, kancelářské potřeby a zaří</w:t>
      </w:r>
      <w:r w:rsidR="00DA41E5">
        <w:rPr>
          <w:lang w:eastAsia="cs-CZ"/>
        </w:rPr>
        <w:softHyphen/>
      </w:r>
      <w:r>
        <w:rPr>
          <w:lang w:eastAsia="cs-CZ"/>
        </w:rPr>
        <w:t>zení kanceláří, včetně kancelářské techniky.</w:t>
      </w:r>
    </w:p>
    <w:p w:rsidR="00B704E7" w:rsidRPr="00455808" w:rsidRDefault="007164C0" w:rsidP="005F5B4E">
      <w:pPr>
        <w:rPr>
          <w:lang w:eastAsia="cs-CZ"/>
        </w:rPr>
      </w:pPr>
      <w:r>
        <w:rPr>
          <w:lang w:eastAsia="cs-CZ"/>
        </w:rPr>
        <w:t>Ve skupině</w:t>
      </w:r>
      <w:r w:rsidR="00C24ED0">
        <w:rPr>
          <w:lang w:eastAsia="cs-CZ"/>
        </w:rPr>
        <w:t xml:space="preserve"> </w:t>
      </w:r>
      <w:r>
        <w:rPr>
          <w:lang w:eastAsia="cs-CZ"/>
        </w:rPr>
        <w:t xml:space="preserve">je </w:t>
      </w:r>
      <w:r w:rsidR="00C24ED0">
        <w:rPr>
          <w:lang w:eastAsia="cs-CZ"/>
        </w:rPr>
        <w:t>7 742 faktur, průměr</w:t>
      </w:r>
      <w:r w:rsidR="000878A2">
        <w:rPr>
          <w:lang w:eastAsia="cs-CZ"/>
        </w:rPr>
        <w:softHyphen/>
      </w:r>
      <w:r w:rsidR="00C24ED0">
        <w:rPr>
          <w:lang w:eastAsia="cs-CZ"/>
        </w:rPr>
        <w:t xml:space="preserve">ná </w:t>
      </w:r>
      <w:r w:rsidR="00CC1FEE">
        <w:rPr>
          <w:lang w:eastAsia="cs-CZ"/>
        </w:rPr>
        <w:t>výše</w:t>
      </w:r>
      <w:r w:rsidR="00C24ED0">
        <w:rPr>
          <w:lang w:eastAsia="cs-CZ"/>
        </w:rPr>
        <w:t xml:space="preserve"> faktury </w:t>
      </w:r>
      <w:r>
        <w:rPr>
          <w:lang w:eastAsia="cs-CZ"/>
        </w:rPr>
        <w:t>je</w:t>
      </w:r>
      <w:r w:rsidR="00C24ED0">
        <w:rPr>
          <w:lang w:eastAsia="cs-CZ"/>
        </w:rPr>
        <w:t xml:space="preserve"> 58 tis. Kč a medián 5 tis. Kč.</w:t>
      </w:r>
      <w:r w:rsidR="004A47ED" w:rsidRPr="004A47ED">
        <w:rPr>
          <w:lang w:eastAsia="cs-CZ"/>
        </w:rPr>
        <w:t xml:space="preserve"> </w:t>
      </w:r>
      <w:r w:rsidR="004A47ED">
        <w:rPr>
          <w:lang w:eastAsia="cs-CZ"/>
        </w:rPr>
        <w:t xml:space="preserve">Faktury byly </w:t>
      </w:r>
      <w:r>
        <w:rPr>
          <w:lang w:eastAsia="cs-CZ"/>
        </w:rPr>
        <w:t>vystaveny 273 dodavateli</w:t>
      </w:r>
      <w:r w:rsidR="004A47ED">
        <w:rPr>
          <w:lang w:eastAsia="cs-CZ"/>
        </w:rPr>
        <w:t xml:space="preserve">, což činí průměrně 28,4 faktur </w:t>
      </w:r>
      <w:r w:rsidR="00906A67">
        <w:rPr>
          <w:lang w:eastAsia="cs-CZ"/>
        </w:rPr>
        <w:t xml:space="preserve">1,6 mil. Kč </w:t>
      </w:r>
      <w:r w:rsidR="004A47ED">
        <w:rPr>
          <w:lang w:eastAsia="cs-CZ"/>
        </w:rPr>
        <w:t xml:space="preserve">na </w:t>
      </w:r>
      <w:r>
        <w:rPr>
          <w:lang w:eastAsia="cs-CZ"/>
        </w:rPr>
        <w:t xml:space="preserve">jednoho </w:t>
      </w:r>
      <w:r w:rsidR="004A47ED">
        <w:rPr>
          <w:lang w:eastAsia="cs-CZ"/>
        </w:rPr>
        <w:t>dodavatele.</w:t>
      </w:r>
    </w:p>
    <w:tbl>
      <w:tblPr>
        <w:tblW w:w="5000" w:type="pct"/>
        <w:tblBorders>
          <w:top w:val="single" w:sz="4" w:space="0" w:color="2DB9FF"/>
          <w:bottom w:val="single" w:sz="4" w:space="0" w:color="2DB9FF"/>
        </w:tblBorders>
        <w:tblCellMar>
          <w:left w:w="70" w:type="dxa"/>
          <w:right w:w="70" w:type="dxa"/>
        </w:tblCellMar>
        <w:tblLook w:val="04A0" w:firstRow="1" w:lastRow="0" w:firstColumn="1" w:lastColumn="0" w:noHBand="0" w:noVBand="1"/>
      </w:tblPr>
      <w:tblGrid>
        <w:gridCol w:w="7127"/>
        <w:gridCol w:w="1595"/>
        <w:gridCol w:w="490"/>
      </w:tblGrid>
      <w:tr w:rsidR="00117873" w:rsidRPr="008571C2" w:rsidTr="00117873">
        <w:trPr>
          <w:trHeight w:val="300"/>
        </w:trPr>
        <w:tc>
          <w:tcPr>
            <w:tcW w:w="3868" w:type="pct"/>
            <w:shd w:val="clear" w:color="000000" w:fill="2DB9FF"/>
            <w:noWrap/>
            <w:vAlign w:val="center"/>
            <w:hideMark/>
          </w:tcPr>
          <w:p w:rsidR="00117873" w:rsidRPr="008571C2" w:rsidRDefault="00117873" w:rsidP="0014231A">
            <w:pPr>
              <w:keepNext/>
              <w:spacing w:before="0" w:after="0" w:line="240" w:lineRule="auto"/>
              <w:jc w:val="left"/>
              <w:rPr>
                <w:rFonts w:ascii="Calibri" w:eastAsia="Times New Roman" w:hAnsi="Calibri" w:cs="Times New Roman"/>
                <w:b/>
                <w:bCs/>
                <w:color w:val="FFFFFF"/>
                <w:szCs w:val="22"/>
                <w:lang w:eastAsia="cs-CZ"/>
              </w:rPr>
            </w:pPr>
            <w:r w:rsidRPr="008571C2">
              <w:rPr>
                <w:rFonts w:ascii="Calibri" w:eastAsia="Segoe UI Semibold" w:hAnsi="Calibri" w:cs="Segoe UI Semibold"/>
                <w:b/>
                <w:bCs/>
                <w:color w:val="FFFFFF"/>
                <w:szCs w:val="22"/>
                <w:lang w:eastAsia="cs-CZ"/>
              </w:rPr>
              <w:t>Kancelářské potřeby, kancelářská technika</w:t>
            </w:r>
          </w:p>
        </w:tc>
        <w:tc>
          <w:tcPr>
            <w:tcW w:w="866" w:type="pct"/>
            <w:shd w:val="clear" w:color="000000" w:fill="2DB9FF"/>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b/>
                <w:bCs/>
                <w:color w:val="FFFFFF"/>
                <w:szCs w:val="22"/>
                <w:lang w:eastAsia="cs-CZ"/>
              </w:rPr>
            </w:pPr>
            <w:r w:rsidRPr="008571C2">
              <w:rPr>
                <w:rFonts w:ascii="Calibri" w:eastAsia="Times New Roman" w:hAnsi="Calibri" w:cs="Times New Roman"/>
                <w:b/>
                <w:bCs/>
                <w:color w:val="FFFFFF"/>
                <w:szCs w:val="22"/>
                <w:lang w:eastAsia="cs-CZ"/>
              </w:rPr>
              <w:t>446 mil. Kč</w:t>
            </w:r>
          </w:p>
        </w:tc>
        <w:tc>
          <w:tcPr>
            <w:tcW w:w="266" w:type="pct"/>
            <w:shd w:val="clear" w:color="000000" w:fill="2DB9FF"/>
            <w:noWrap/>
            <w:vAlign w:val="center"/>
            <w:hideMark/>
          </w:tcPr>
          <w:p w:rsidR="00117873" w:rsidRPr="00455808" w:rsidRDefault="00117873" w:rsidP="00AD118C">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Tiskařské výrobky</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235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53%</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Pomocné a ostatní kancelářské služby</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63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14%</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Kancelářské potřeby</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40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9%</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Spotřební materiál pro kancelářskou techniku</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36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8%</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Tiskařské služby</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34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8%</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Opravy a údržba kancelářských strojů, osobních počítačů a telekomunikačních zařízení</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23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5%</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Zařízení a vybavení interiéru</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6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1%</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Nábytek</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5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1%</w:t>
            </w:r>
          </w:p>
        </w:tc>
      </w:tr>
      <w:tr w:rsidR="00117873" w:rsidRPr="008571C2" w:rsidTr="00117873">
        <w:trPr>
          <w:trHeight w:val="300"/>
        </w:trPr>
        <w:tc>
          <w:tcPr>
            <w:tcW w:w="3868" w:type="pct"/>
            <w:shd w:val="clear" w:color="auto" w:fill="auto"/>
            <w:noWrap/>
            <w:vAlign w:val="center"/>
            <w:hideMark/>
          </w:tcPr>
          <w:p w:rsidR="00117873" w:rsidRPr="008571C2" w:rsidRDefault="00117873" w:rsidP="0014231A">
            <w:pPr>
              <w:keepNext/>
              <w:spacing w:before="0" w:after="0" w:line="240" w:lineRule="auto"/>
              <w:jc w:val="lef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Kancelářská technika a zařízení</w:t>
            </w:r>
          </w:p>
        </w:tc>
        <w:tc>
          <w:tcPr>
            <w:tcW w:w="8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5 mil. Kč</w:t>
            </w:r>
          </w:p>
        </w:tc>
        <w:tc>
          <w:tcPr>
            <w:tcW w:w="266" w:type="pct"/>
            <w:shd w:val="clear" w:color="auto" w:fill="auto"/>
            <w:noWrap/>
            <w:vAlign w:val="center"/>
            <w:hideMark/>
          </w:tcPr>
          <w:p w:rsidR="00117873" w:rsidRPr="008571C2" w:rsidRDefault="00117873" w:rsidP="0014231A">
            <w:pPr>
              <w:keepNext/>
              <w:spacing w:before="0" w:after="0" w:line="240" w:lineRule="auto"/>
              <w:jc w:val="right"/>
              <w:rPr>
                <w:rFonts w:ascii="Calibri" w:eastAsia="Times New Roman" w:hAnsi="Calibri" w:cs="Times New Roman"/>
                <w:color w:val="404040"/>
                <w:lang w:eastAsia="cs-CZ"/>
              </w:rPr>
            </w:pPr>
            <w:r w:rsidRPr="008571C2">
              <w:rPr>
                <w:rFonts w:ascii="Calibri" w:eastAsia="Times New Roman" w:hAnsi="Calibri" w:cs="Times New Roman"/>
                <w:color w:val="404040"/>
                <w:lang w:eastAsia="cs-CZ"/>
              </w:rPr>
              <w:t>1%</w:t>
            </w:r>
          </w:p>
        </w:tc>
      </w:tr>
    </w:tbl>
    <w:p w:rsidR="005F5B4E" w:rsidRPr="00B62B45" w:rsidRDefault="005F5B4E" w:rsidP="005F5B4E">
      <w:pPr>
        <w:pStyle w:val="Titulek"/>
        <w:rPr>
          <w:lang w:eastAsia="cs-CZ"/>
        </w:rPr>
      </w:pPr>
      <w:bookmarkStart w:id="21" w:name="_Toc410924314"/>
      <w:r>
        <w:t xml:space="preserve">Tabulka </w:t>
      </w:r>
      <w:r w:rsidR="00297831">
        <w:fldChar w:fldCharType="begin"/>
      </w:r>
      <w:r w:rsidR="00297831">
        <w:instrText xml:space="preserve"> SEQ Tabulka \* ARABIC </w:instrText>
      </w:r>
      <w:r w:rsidR="00297831">
        <w:fldChar w:fldCharType="separate"/>
      </w:r>
      <w:r w:rsidR="00297831">
        <w:rPr>
          <w:noProof/>
        </w:rPr>
        <w:t>8</w:t>
      </w:r>
      <w:r w:rsidR="00297831">
        <w:rPr>
          <w:noProof/>
        </w:rPr>
        <w:fldChar w:fldCharType="end"/>
      </w:r>
      <w:r>
        <w:t xml:space="preserve"> - Kancelářské potřeby, kancelářská technika</w:t>
      </w:r>
      <w:bookmarkEnd w:id="21"/>
    </w:p>
    <w:p w:rsidR="005F5B4E" w:rsidRDefault="005F5B4E" w:rsidP="00D34A5F">
      <w:pPr>
        <w:pStyle w:val="Nadpis3"/>
      </w:pPr>
      <w:bookmarkStart w:id="22" w:name="_Toc411438728"/>
      <w:r>
        <w:t>Vzdělávání a školení</w:t>
      </w:r>
      <w:bookmarkEnd w:id="22"/>
    </w:p>
    <w:p w:rsidR="007164C0" w:rsidRDefault="008D5EF5" w:rsidP="008D5EF5">
      <w:pPr>
        <w:rPr>
          <w:lang w:eastAsia="cs-CZ"/>
        </w:rPr>
      </w:pPr>
      <w:r>
        <w:rPr>
          <w:lang w:eastAsia="cs-CZ"/>
        </w:rPr>
        <w:t xml:space="preserve">Do skupiny Vzdělávání a školení je zařazena pouze jedna komoditní kategorie, která s objemem 84 mil. Kč tvoří </w:t>
      </w:r>
      <w:r w:rsidR="00B33D5D">
        <w:rPr>
          <w:lang w:eastAsia="cs-CZ"/>
        </w:rPr>
        <w:t>0,4</w:t>
      </w:r>
      <w:r>
        <w:rPr>
          <w:lang w:eastAsia="cs-CZ"/>
        </w:rPr>
        <w:t>% výdajů na komodity vhodné k centrálnímu nákupu.</w:t>
      </w:r>
    </w:p>
    <w:p w:rsidR="00B704E7" w:rsidRPr="008D5EF5" w:rsidRDefault="00C24ED0" w:rsidP="008D5EF5">
      <w:pPr>
        <w:rPr>
          <w:lang w:eastAsia="cs-CZ"/>
        </w:rPr>
      </w:pPr>
      <w:r>
        <w:rPr>
          <w:lang w:eastAsia="cs-CZ"/>
        </w:rPr>
        <w:lastRenderedPageBreak/>
        <w:t>V</w:t>
      </w:r>
      <w:r w:rsidR="007164C0">
        <w:rPr>
          <w:lang w:eastAsia="cs-CZ"/>
        </w:rPr>
        <w:t> této skupině je</w:t>
      </w:r>
      <w:r>
        <w:rPr>
          <w:lang w:eastAsia="cs-CZ"/>
        </w:rPr>
        <w:t xml:space="preserve"> 2 879 faktur, průměrná </w:t>
      </w:r>
      <w:r w:rsidR="00CC1FEE">
        <w:rPr>
          <w:lang w:eastAsia="cs-CZ"/>
        </w:rPr>
        <w:t>výše</w:t>
      </w:r>
      <w:r>
        <w:rPr>
          <w:lang w:eastAsia="cs-CZ"/>
        </w:rPr>
        <w:t xml:space="preserve"> faktury byla 30 tis. Kč a medián 5 tis. Kč.</w:t>
      </w:r>
      <w:r w:rsidR="004A47ED" w:rsidRPr="004A47ED">
        <w:rPr>
          <w:lang w:eastAsia="cs-CZ"/>
        </w:rPr>
        <w:t xml:space="preserve"> </w:t>
      </w:r>
      <w:r w:rsidR="004A47ED">
        <w:rPr>
          <w:lang w:eastAsia="cs-CZ"/>
        </w:rPr>
        <w:t xml:space="preserve">Výdaje byly rozděleny mezi 122 dodavatelů, což činí průměrně 23,6 faktur </w:t>
      </w:r>
      <w:r w:rsidR="00906A67">
        <w:rPr>
          <w:lang w:eastAsia="cs-CZ"/>
        </w:rPr>
        <w:t xml:space="preserve">a 790 tis. Kč </w:t>
      </w:r>
      <w:r w:rsidR="004A47ED">
        <w:rPr>
          <w:lang w:eastAsia="cs-CZ"/>
        </w:rPr>
        <w:t>na</w:t>
      </w:r>
      <w:r w:rsidR="007164C0">
        <w:rPr>
          <w:lang w:eastAsia="cs-CZ"/>
        </w:rPr>
        <w:t xml:space="preserve"> jednoho</w:t>
      </w:r>
      <w:r w:rsidR="004A47ED">
        <w:rPr>
          <w:lang w:eastAsia="cs-CZ"/>
        </w:rPr>
        <w:t xml:space="preserve"> dodavatele.</w:t>
      </w:r>
    </w:p>
    <w:tbl>
      <w:tblPr>
        <w:tblW w:w="5000" w:type="pct"/>
        <w:tblBorders>
          <w:top w:val="single" w:sz="4" w:space="0" w:color="2DB9FF" w:themeColor="accent2"/>
          <w:bottom w:val="single" w:sz="4" w:space="0" w:color="2DB9FF" w:themeColor="accent2"/>
        </w:tblBorders>
        <w:tblCellMar>
          <w:left w:w="70" w:type="dxa"/>
          <w:right w:w="70" w:type="dxa"/>
        </w:tblCellMar>
        <w:tblLook w:val="04A0" w:firstRow="1" w:lastRow="0" w:firstColumn="1" w:lastColumn="0" w:noHBand="0" w:noVBand="1"/>
      </w:tblPr>
      <w:tblGrid>
        <w:gridCol w:w="6521"/>
        <w:gridCol w:w="1995"/>
        <w:gridCol w:w="696"/>
      </w:tblGrid>
      <w:tr w:rsidR="00117873" w:rsidRPr="00C35AA7" w:rsidTr="00117873">
        <w:trPr>
          <w:trHeight w:val="300"/>
        </w:trPr>
        <w:tc>
          <w:tcPr>
            <w:tcW w:w="3539" w:type="pct"/>
            <w:shd w:val="clear" w:color="000000" w:fill="2DB9FF"/>
            <w:noWrap/>
            <w:vAlign w:val="center"/>
            <w:hideMark/>
          </w:tcPr>
          <w:p w:rsidR="00117873" w:rsidRPr="00C35AA7" w:rsidRDefault="00117873" w:rsidP="0014231A">
            <w:pPr>
              <w:keepNext/>
              <w:spacing w:before="0" w:after="0" w:line="240" w:lineRule="auto"/>
              <w:jc w:val="left"/>
              <w:rPr>
                <w:rFonts w:ascii="Calibri" w:eastAsia="Times New Roman" w:hAnsi="Calibri" w:cs="Times New Roman"/>
                <w:b/>
                <w:bCs/>
                <w:color w:val="FFFFFF"/>
                <w:szCs w:val="22"/>
                <w:lang w:eastAsia="cs-CZ"/>
              </w:rPr>
            </w:pPr>
            <w:r w:rsidRPr="00C35AA7">
              <w:rPr>
                <w:rFonts w:ascii="Calibri" w:eastAsia="Segoe UI Semibold" w:hAnsi="Calibri" w:cs="Segoe UI Semibold"/>
                <w:b/>
                <w:bCs/>
                <w:color w:val="FFFFFF"/>
                <w:szCs w:val="22"/>
                <w:lang w:eastAsia="cs-CZ"/>
              </w:rPr>
              <w:t>Ostatní komodity</w:t>
            </w:r>
          </w:p>
        </w:tc>
        <w:tc>
          <w:tcPr>
            <w:tcW w:w="1083" w:type="pct"/>
            <w:shd w:val="clear" w:color="000000" w:fill="2DB9FF"/>
            <w:noWrap/>
            <w:vAlign w:val="center"/>
            <w:hideMark/>
          </w:tcPr>
          <w:p w:rsidR="00117873" w:rsidRPr="00C35AA7" w:rsidRDefault="00117873" w:rsidP="0014231A">
            <w:pPr>
              <w:keepNext/>
              <w:spacing w:before="0" w:after="0" w:line="240" w:lineRule="auto"/>
              <w:jc w:val="right"/>
              <w:rPr>
                <w:rFonts w:ascii="Calibri" w:eastAsia="Times New Roman" w:hAnsi="Calibri" w:cs="Times New Roman"/>
                <w:b/>
                <w:bCs/>
                <w:color w:val="FFFFFF"/>
                <w:szCs w:val="22"/>
                <w:lang w:eastAsia="cs-CZ"/>
              </w:rPr>
            </w:pPr>
            <w:r w:rsidRPr="00C35AA7">
              <w:rPr>
                <w:rFonts w:ascii="Calibri" w:eastAsia="Times New Roman" w:hAnsi="Calibri" w:cs="Times New Roman"/>
                <w:b/>
                <w:bCs/>
                <w:color w:val="FFFFFF"/>
                <w:szCs w:val="22"/>
                <w:lang w:eastAsia="cs-CZ"/>
              </w:rPr>
              <w:t>8</w:t>
            </w:r>
            <w:r>
              <w:rPr>
                <w:rFonts w:ascii="Calibri" w:eastAsia="Times New Roman" w:hAnsi="Calibri" w:cs="Times New Roman"/>
                <w:b/>
                <w:bCs/>
                <w:color w:val="FFFFFF"/>
                <w:szCs w:val="22"/>
                <w:lang w:eastAsia="cs-CZ"/>
              </w:rPr>
              <w:t>4</w:t>
            </w:r>
            <w:r w:rsidRPr="00C35AA7">
              <w:rPr>
                <w:rFonts w:ascii="Calibri" w:eastAsia="Times New Roman" w:hAnsi="Calibri" w:cs="Times New Roman"/>
                <w:b/>
                <w:bCs/>
                <w:color w:val="FFFFFF"/>
                <w:szCs w:val="22"/>
                <w:lang w:eastAsia="cs-CZ"/>
              </w:rPr>
              <w:t xml:space="preserve"> mil. Kč</w:t>
            </w:r>
          </w:p>
        </w:tc>
        <w:tc>
          <w:tcPr>
            <w:tcW w:w="378" w:type="pct"/>
            <w:shd w:val="clear" w:color="000000" w:fill="2DB9FF"/>
            <w:noWrap/>
            <w:vAlign w:val="center"/>
            <w:hideMark/>
          </w:tcPr>
          <w:p w:rsidR="00117873" w:rsidRPr="00455808" w:rsidRDefault="00117873" w:rsidP="00AD118C">
            <w:pPr>
              <w:keepNext/>
              <w:spacing w:before="0" w:after="0" w:line="240" w:lineRule="auto"/>
              <w:jc w:val="right"/>
              <w:rPr>
                <w:rFonts w:ascii="Calibri" w:eastAsia="Times New Roman" w:hAnsi="Calibri" w:cs="Times New Roman"/>
                <w:b/>
                <w:bCs/>
                <w:color w:val="FFFFFF"/>
                <w:szCs w:val="22"/>
                <w:lang w:eastAsia="cs-CZ"/>
              </w:rPr>
            </w:pPr>
            <w:r w:rsidRPr="00455808">
              <w:rPr>
                <w:rFonts w:ascii="Calibri" w:eastAsia="Times New Roman" w:hAnsi="Calibri" w:cs="Times New Roman"/>
                <w:b/>
                <w:bCs/>
                <w:color w:val="FFFFFF"/>
                <w:szCs w:val="22"/>
                <w:lang w:eastAsia="cs-CZ"/>
              </w:rPr>
              <w:t>% </w:t>
            </w:r>
          </w:p>
        </w:tc>
      </w:tr>
      <w:tr w:rsidR="00117873" w:rsidRPr="00C35AA7" w:rsidTr="00117873">
        <w:trPr>
          <w:trHeight w:val="300"/>
        </w:trPr>
        <w:tc>
          <w:tcPr>
            <w:tcW w:w="3539" w:type="pct"/>
            <w:shd w:val="clear" w:color="auto" w:fill="auto"/>
            <w:noWrap/>
            <w:vAlign w:val="center"/>
            <w:hideMark/>
          </w:tcPr>
          <w:p w:rsidR="00117873" w:rsidRPr="00C35AA7" w:rsidRDefault="00117873" w:rsidP="0014231A">
            <w:pPr>
              <w:keepNext/>
              <w:spacing w:before="0" w:after="0" w:line="240" w:lineRule="auto"/>
              <w:jc w:val="left"/>
              <w:rPr>
                <w:rFonts w:ascii="Calibri" w:eastAsia="Times New Roman" w:hAnsi="Calibri" w:cs="Times New Roman"/>
                <w:color w:val="404040"/>
                <w:lang w:eastAsia="cs-CZ"/>
              </w:rPr>
            </w:pPr>
            <w:r w:rsidRPr="00C35AA7">
              <w:rPr>
                <w:rFonts w:ascii="Calibri" w:eastAsia="Times New Roman" w:hAnsi="Calibri" w:cs="Times New Roman"/>
                <w:color w:val="404040"/>
                <w:lang w:eastAsia="cs-CZ"/>
              </w:rPr>
              <w:t>Vzdělávání a školení</w:t>
            </w:r>
          </w:p>
        </w:tc>
        <w:tc>
          <w:tcPr>
            <w:tcW w:w="1083" w:type="pct"/>
            <w:shd w:val="clear" w:color="auto" w:fill="auto"/>
            <w:noWrap/>
            <w:vAlign w:val="center"/>
            <w:hideMark/>
          </w:tcPr>
          <w:p w:rsidR="00117873" w:rsidRPr="00C35AA7" w:rsidRDefault="00117873" w:rsidP="0014231A">
            <w:pPr>
              <w:keepNext/>
              <w:spacing w:before="0" w:after="0" w:line="240" w:lineRule="auto"/>
              <w:jc w:val="right"/>
              <w:rPr>
                <w:rFonts w:ascii="Calibri" w:eastAsia="Times New Roman" w:hAnsi="Calibri" w:cs="Times New Roman"/>
                <w:color w:val="404040"/>
                <w:lang w:eastAsia="cs-CZ"/>
              </w:rPr>
            </w:pPr>
            <w:r w:rsidRPr="00C35AA7">
              <w:rPr>
                <w:rFonts w:ascii="Calibri" w:eastAsia="Times New Roman" w:hAnsi="Calibri" w:cs="Times New Roman"/>
                <w:color w:val="404040"/>
                <w:lang w:eastAsia="cs-CZ"/>
              </w:rPr>
              <w:t>84 mil. Kč</w:t>
            </w:r>
          </w:p>
        </w:tc>
        <w:tc>
          <w:tcPr>
            <w:tcW w:w="378" w:type="pct"/>
            <w:shd w:val="clear" w:color="auto" w:fill="auto"/>
            <w:noWrap/>
            <w:vAlign w:val="center"/>
            <w:hideMark/>
          </w:tcPr>
          <w:p w:rsidR="00117873" w:rsidRPr="00C35AA7" w:rsidRDefault="00117873" w:rsidP="0014231A">
            <w:pPr>
              <w:keepNext/>
              <w:spacing w:before="0" w:after="0" w:line="240" w:lineRule="auto"/>
              <w:jc w:val="right"/>
              <w:rPr>
                <w:rFonts w:ascii="Calibri" w:eastAsia="Times New Roman" w:hAnsi="Calibri" w:cs="Times New Roman"/>
                <w:color w:val="404040"/>
                <w:lang w:eastAsia="cs-CZ"/>
              </w:rPr>
            </w:pPr>
            <w:r w:rsidRPr="00C35AA7">
              <w:rPr>
                <w:rFonts w:ascii="Calibri" w:eastAsia="Times New Roman" w:hAnsi="Calibri" w:cs="Times New Roman"/>
                <w:color w:val="404040"/>
                <w:lang w:eastAsia="cs-CZ"/>
              </w:rPr>
              <w:t>13%</w:t>
            </w:r>
          </w:p>
        </w:tc>
      </w:tr>
    </w:tbl>
    <w:p w:rsidR="005F5B4E" w:rsidRPr="00C35AA7" w:rsidRDefault="005F5B4E" w:rsidP="005F5B4E">
      <w:pPr>
        <w:pStyle w:val="Titulek"/>
        <w:rPr>
          <w:lang w:eastAsia="cs-CZ"/>
        </w:rPr>
      </w:pPr>
      <w:r>
        <w:t xml:space="preserve">Tabulka </w:t>
      </w:r>
      <w:r w:rsidR="00297831">
        <w:fldChar w:fldCharType="begin"/>
      </w:r>
      <w:r w:rsidR="00297831">
        <w:instrText xml:space="preserve"> SEQ Tabulka \* ARABIC </w:instrText>
      </w:r>
      <w:r w:rsidR="00297831">
        <w:fldChar w:fldCharType="separate"/>
      </w:r>
      <w:r w:rsidR="00297831">
        <w:rPr>
          <w:noProof/>
        </w:rPr>
        <w:t>9</w:t>
      </w:r>
      <w:r w:rsidR="00297831">
        <w:rPr>
          <w:noProof/>
        </w:rPr>
        <w:fldChar w:fldCharType="end"/>
      </w:r>
      <w:r>
        <w:t xml:space="preserve"> - </w:t>
      </w:r>
      <w:r w:rsidR="00D34A5F" w:rsidRPr="00D34A5F">
        <w:t>Vzdělávání a školení</w:t>
      </w:r>
    </w:p>
    <w:p w:rsidR="00CC1FEE" w:rsidRDefault="00CC1FEE" w:rsidP="008F7689">
      <w:pPr>
        <w:pStyle w:val="Nadpis1"/>
      </w:pPr>
      <w:bookmarkStart w:id="23" w:name="_Toc411438729"/>
    </w:p>
    <w:p w:rsidR="008F7689" w:rsidRDefault="008F7689" w:rsidP="008F7689">
      <w:pPr>
        <w:pStyle w:val="Nadpis1"/>
      </w:pPr>
      <w:r>
        <w:t>Postup při zpracování komoditní analýzy</w:t>
      </w:r>
      <w:bookmarkEnd w:id="23"/>
    </w:p>
    <w:p w:rsidR="008F7689" w:rsidRPr="003E1CF3" w:rsidRDefault="008F7689" w:rsidP="00AC4617">
      <w:pPr>
        <w:pStyle w:val="Nadpis2"/>
      </w:pPr>
      <w:bookmarkStart w:id="24" w:name="_Toc411438730"/>
      <w:r>
        <w:t>Číselník komoditních kategorií</w:t>
      </w:r>
      <w:bookmarkEnd w:id="24"/>
    </w:p>
    <w:p w:rsidR="008F7689" w:rsidRDefault="008F7689" w:rsidP="008F7689">
      <w:pPr>
        <w:rPr>
          <w:lang w:eastAsia="cs-CZ"/>
        </w:rPr>
      </w:pPr>
      <w:r w:rsidRPr="00074B7C">
        <w:rPr>
          <w:lang w:eastAsia="cs-CZ"/>
        </w:rPr>
        <w:t xml:space="preserve">Pro zpracování komoditní výdajové analýzy bylo nutné projít jednotlivě dodané faktury a každé faktuře přiřadit komoditní kategorii, do které spadal předmět faktury. Jako základ pro určování komoditních kategorií byl použit </w:t>
      </w:r>
      <w:r w:rsidR="00CE6132" w:rsidRPr="00074B7C">
        <w:rPr>
          <w:lang w:eastAsia="cs-CZ"/>
        </w:rPr>
        <w:t xml:space="preserve">číselník </w:t>
      </w:r>
      <w:r w:rsidRPr="00074B7C">
        <w:rPr>
          <w:lang w:eastAsia="cs-CZ"/>
        </w:rPr>
        <w:t>Národní infrastruk</w:t>
      </w:r>
      <w:r w:rsidR="008F3899">
        <w:rPr>
          <w:lang w:eastAsia="cs-CZ"/>
        </w:rPr>
        <w:t xml:space="preserve">tury pro elektronické zadávání veřejných zakázek (číselník NIPEZ je k nahlédnutí na adrese </w:t>
      </w:r>
      <w:hyperlink r:id="rId12" w:history="1">
        <w:r w:rsidR="008F3899" w:rsidRPr="00594389">
          <w:rPr>
            <w:rStyle w:val="Hypertextovodkaz"/>
            <w:lang w:eastAsia="cs-CZ"/>
          </w:rPr>
          <w:t>http://ciselnik.nipez.cz/</w:t>
        </w:r>
      </w:hyperlink>
      <w:r w:rsidR="008F3899">
        <w:rPr>
          <w:lang w:eastAsia="cs-CZ"/>
        </w:rPr>
        <w:t>).</w:t>
      </w:r>
    </w:p>
    <w:p w:rsidR="008F7689" w:rsidRDefault="008F7689" w:rsidP="008F7689">
      <w:pPr>
        <w:rPr>
          <w:lang w:eastAsia="cs-CZ"/>
        </w:rPr>
      </w:pPr>
      <w:r w:rsidRPr="00074B7C">
        <w:rPr>
          <w:lang w:eastAsia="cs-CZ"/>
        </w:rPr>
        <w:t>Tento číselník je tvořen stromovou strukturou</w:t>
      </w:r>
      <w:r>
        <w:rPr>
          <w:lang w:eastAsia="cs-CZ"/>
        </w:rPr>
        <w:t xml:space="preserve">, kde jsou </w:t>
      </w:r>
      <w:r w:rsidRPr="00074B7C">
        <w:rPr>
          <w:lang w:eastAsia="cs-CZ"/>
        </w:rPr>
        <w:t>komodity označené CPV kódem řazeny do stromu komoditních skupin, který je následně zařazen pod jednu komoditní kategorii ozna</w:t>
      </w:r>
      <w:r w:rsidR="00DA41E5">
        <w:rPr>
          <w:lang w:eastAsia="cs-CZ"/>
        </w:rPr>
        <w:softHyphen/>
      </w:r>
      <w:r w:rsidRPr="00074B7C">
        <w:rPr>
          <w:lang w:eastAsia="cs-CZ"/>
        </w:rPr>
        <w:t>čenou dvoučíselným kódem.</w:t>
      </w:r>
      <w:r>
        <w:rPr>
          <w:lang w:eastAsia="cs-CZ"/>
        </w:rPr>
        <w:t xml:space="preserve"> Celkem jsou komodity takto zařazeny do osmdesáti komo</w:t>
      </w:r>
      <w:r w:rsidR="00DA41E5">
        <w:rPr>
          <w:lang w:eastAsia="cs-CZ"/>
        </w:rPr>
        <w:softHyphen/>
      </w:r>
      <w:r>
        <w:rPr>
          <w:lang w:eastAsia="cs-CZ"/>
        </w:rPr>
        <w:t>dit</w:t>
      </w:r>
      <w:r w:rsidR="00DA41E5">
        <w:rPr>
          <w:lang w:eastAsia="cs-CZ"/>
        </w:rPr>
        <w:softHyphen/>
      </w:r>
      <w:r>
        <w:rPr>
          <w:lang w:eastAsia="cs-CZ"/>
        </w:rPr>
        <w:t>ních kategorií.</w:t>
      </w:r>
    </w:p>
    <w:p w:rsidR="008F7689" w:rsidRDefault="008F7689" w:rsidP="008F7689">
      <w:pPr>
        <w:rPr>
          <w:lang w:eastAsia="cs-CZ"/>
        </w:rPr>
      </w:pPr>
      <w:r>
        <w:rPr>
          <w:lang w:eastAsia="cs-CZ"/>
        </w:rPr>
        <w:t>Vzhledem k tomu, že jsou</w:t>
      </w:r>
      <w:r w:rsidR="00CE6132">
        <w:rPr>
          <w:lang w:eastAsia="cs-CZ"/>
        </w:rPr>
        <w:t xml:space="preserve"> některé</w:t>
      </w:r>
      <w:r>
        <w:rPr>
          <w:lang w:eastAsia="cs-CZ"/>
        </w:rPr>
        <w:t xml:space="preserve"> faktury vystavené na více komodit, spadajících do různých komoditních kategorií (typicky například energie a nájem, nebo doprava a ubytov</w:t>
      </w:r>
      <w:r w:rsidR="00A21790">
        <w:rPr>
          <w:lang w:eastAsia="cs-CZ"/>
        </w:rPr>
        <w:t>ání u služeb</w:t>
      </w:r>
      <w:r w:rsidR="00DA41E5">
        <w:rPr>
          <w:lang w:eastAsia="cs-CZ"/>
        </w:rPr>
        <w:softHyphen/>
      </w:r>
      <w:r w:rsidR="00A21790">
        <w:rPr>
          <w:lang w:eastAsia="cs-CZ"/>
        </w:rPr>
        <w:t>ních cest), bylo pro jejich zařazení</w:t>
      </w:r>
      <w:r>
        <w:rPr>
          <w:lang w:eastAsia="cs-CZ"/>
        </w:rPr>
        <w:t xml:space="preserve"> nutné stanovit některá pravidla.</w:t>
      </w:r>
    </w:p>
    <w:p w:rsidR="008F7689" w:rsidRPr="003E1CF3" w:rsidRDefault="008F7689" w:rsidP="008F7689">
      <w:pPr>
        <w:pStyle w:val="Odstavecseseznamem"/>
        <w:numPr>
          <w:ilvl w:val="0"/>
          <w:numId w:val="27"/>
        </w:numPr>
        <w:rPr>
          <w:lang w:eastAsia="cs-CZ"/>
        </w:rPr>
      </w:pPr>
      <w:r>
        <w:rPr>
          <w:lang w:eastAsia="cs-CZ"/>
        </w:rPr>
        <w:t xml:space="preserve">Faktury za poplatky za energie spojené s provozem budov jsou zařazené všechny v komoditní kategorii </w:t>
      </w:r>
      <w:r w:rsidRPr="003E1CF3">
        <w:rPr>
          <w:i/>
          <w:lang w:eastAsia="cs-CZ"/>
        </w:rPr>
        <w:t>Paliva a elektrická energie, pára a horká voda</w:t>
      </w:r>
    </w:p>
    <w:p w:rsidR="008F7689" w:rsidRDefault="008F7689" w:rsidP="008F7689">
      <w:pPr>
        <w:pStyle w:val="Odstavecseseznamem"/>
        <w:numPr>
          <w:ilvl w:val="0"/>
          <w:numId w:val="27"/>
        </w:numPr>
        <w:rPr>
          <w:lang w:eastAsia="cs-CZ"/>
        </w:rPr>
      </w:pPr>
      <w:r>
        <w:rPr>
          <w:lang w:eastAsia="cs-CZ"/>
        </w:rPr>
        <w:t xml:space="preserve">Faktury, kde jsou energie spolu s nájmem jsou zařazeny v komoditní kategorii </w:t>
      </w:r>
      <w:r>
        <w:rPr>
          <w:i/>
          <w:lang w:eastAsia="cs-CZ"/>
        </w:rPr>
        <w:t>Realitní služby</w:t>
      </w:r>
    </w:p>
    <w:p w:rsidR="008F7689" w:rsidRDefault="008F7689" w:rsidP="008F7689">
      <w:pPr>
        <w:pStyle w:val="Odstavecseseznamem"/>
        <w:numPr>
          <w:ilvl w:val="0"/>
          <w:numId w:val="27"/>
        </w:numPr>
        <w:rPr>
          <w:lang w:eastAsia="cs-CZ"/>
        </w:rPr>
      </w:pPr>
      <w:r>
        <w:rPr>
          <w:lang w:eastAsia="cs-CZ"/>
        </w:rPr>
        <w:t>U ostatních případů kdy se jednalo o faktury s více komoditami z různých komoditních kategorií, byla zvolena komoditní kategorie, u které se dal předpokládat největší objem.</w:t>
      </w:r>
    </w:p>
    <w:p w:rsidR="008F7689" w:rsidRDefault="008F7689" w:rsidP="008F7689">
      <w:pPr>
        <w:rPr>
          <w:lang w:eastAsia="cs-CZ"/>
        </w:rPr>
      </w:pPr>
      <w:r>
        <w:rPr>
          <w:lang w:eastAsia="cs-CZ"/>
        </w:rPr>
        <w:t>Zároveň byly pro faktury, které nebylo možné zařadit do některé ze stávajících komoditních kategorií, vytvořili některé syntetické (vlastní) komoditní kategorie:</w:t>
      </w:r>
    </w:p>
    <w:p w:rsidR="008F7689" w:rsidRDefault="008F7689" w:rsidP="008F7689">
      <w:pPr>
        <w:pStyle w:val="Odstavecseseznamem"/>
        <w:numPr>
          <w:ilvl w:val="0"/>
          <w:numId w:val="28"/>
        </w:numPr>
        <w:rPr>
          <w:lang w:eastAsia="cs-CZ"/>
        </w:rPr>
      </w:pPr>
      <w:r w:rsidRPr="00E06633">
        <w:rPr>
          <w:i/>
          <w:lang w:eastAsia="cs-CZ"/>
        </w:rPr>
        <w:t>Konzultační služby (více oborů)</w:t>
      </w:r>
      <w:r>
        <w:rPr>
          <w:lang w:eastAsia="cs-CZ"/>
        </w:rPr>
        <w:t xml:space="preserve"> – pro faktury za konzultační služby kde bylo více oborů, případně nebylo možné obor poradenských služeb určit (dodavatel jich nabízí více a v</w:t>
      </w:r>
      <w:r w:rsidR="00DA41E5">
        <w:rPr>
          <w:lang w:eastAsia="cs-CZ"/>
        </w:rPr>
        <w:t> </w:t>
      </w:r>
      <w:r>
        <w:rPr>
          <w:lang w:eastAsia="cs-CZ"/>
        </w:rPr>
        <w:t>po</w:t>
      </w:r>
      <w:r w:rsidR="00DA41E5">
        <w:rPr>
          <w:lang w:eastAsia="cs-CZ"/>
        </w:rPr>
        <w:softHyphen/>
      </w:r>
      <w:r>
        <w:rPr>
          <w:lang w:eastAsia="cs-CZ"/>
        </w:rPr>
        <w:t>pi</w:t>
      </w:r>
      <w:r w:rsidR="00DA41E5">
        <w:rPr>
          <w:lang w:eastAsia="cs-CZ"/>
        </w:rPr>
        <w:softHyphen/>
      </w:r>
      <w:r>
        <w:rPr>
          <w:lang w:eastAsia="cs-CZ"/>
        </w:rPr>
        <w:t>su faktury nebylo specifikováno</w:t>
      </w:r>
      <w:r w:rsidR="006A4EF0">
        <w:rPr>
          <w:lang w:eastAsia="cs-CZ"/>
        </w:rPr>
        <w:t>,</w:t>
      </w:r>
      <w:r>
        <w:rPr>
          <w:lang w:eastAsia="cs-CZ"/>
        </w:rPr>
        <w:t xml:space="preserve"> čeho se faktura týkala)</w:t>
      </w:r>
    </w:p>
    <w:p w:rsidR="008F7689" w:rsidRDefault="008F7689" w:rsidP="008F7689">
      <w:pPr>
        <w:pStyle w:val="Odstavecseseznamem"/>
        <w:numPr>
          <w:ilvl w:val="0"/>
          <w:numId w:val="28"/>
        </w:numPr>
        <w:rPr>
          <w:lang w:eastAsia="cs-CZ"/>
        </w:rPr>
      </w:pPr>
      <w:r w:rsidRPr="00E06633">
        <w:rPr>
          <w:i/>
          <w:lang w:eastAsia="cs-CZ"/>
        </w:rPr>
        <w:t>Služební cesty</w:t>
      </w:r>
      <w:r>
        <w:rPr>
          <w:lang w:eastAsia="cs-CZ"/>
        </w:rPr>
        <w:t xml:space="preserve"> – pro společné faktury za ubytování i dopravu na služební cesty (většinou objednáváno přes tzv. tour operátory)</w:t>
      </w:r>
    </w:p>
    <w:p w:rsidR="008F7689" w:rsidRDefault="008F7689" w:rsidP="008F7689">
      <w:pPr>
        <w:pStyle w:val="Odstavecseseznamem"/>
        <w:numPr>
          <w:ilvl w:val="0"/>
          <w:numId w:val="28"/>
        </w:numPr>
        <w:rPr>
          <w:lang w:eastAsia="cs-CZ"/>
        </w:rPr>
      </w:pPr>
      <w:r w:rsidRPr="00E06633">
        <w:rPr>
          <w:i/>
          <w:lang w:eastAsia="cs-CZ"/>
        </w:rPr>
        <w:t>Stravenky</w:t>
      </w:r>
    </w:p>
    <w:p w:rsidR="008F7689" w:rsidRDefault="008F7689" w:rsidP="008F7689">
      <w:pPr>
        <w:pStyle w:val="Odstavecseseznamem"/>
        <w:numPr>
          <w:ilvl w:val="0"/>
          <w:numId w:val="28"/>
        </w:numPr>
        <w:rPr>
          <w:i/>
          <w:lang w:eastAsia="cs-CZ"/>
        </w:rPr>
      </w:pPr>
      <w:r w:rsidRPr="00E06633">
        <w:rPr>
          <w:i/>
          <w:lang w:eastAsia="cs-CZ"/>
        </w:rPr>
        <w:t>Dodávka informačních systémů včetně licencí, vývoje a podpory</w:t>
      </w:r>
    </w:p>
    <w:p w:rsidR="00CE6132" w:rsidRDefault="00CE6132" w:rsidP="00CE6132">
      <w:pPr>
        <w:rPr>
          <w:lang w:eastAsia="cs-CZ"/>
        </w:rPr>
      </w:pPr>
      <w:r>
        <w:rPr>
          <w:lang w:eastAsia="cs-CZ"/>
        </w:rPr>
        <w:t>Použité komoditní kategorie jsou shrnuty v následující tabulce:</w:t>
      </w:r>
    </w:p>
    <w:tbl>
      <w:tblPr>
        <w:tblStyle w:val="Tabulka47"/>
        <w:tblW w:w="4884" w:type="pct"/>
        <w:tblInd w:w="108" w:type="dxa"/>
        <w:tblLayout w:type="fixed"/>
        <w:tblLook w:val="04A0" w:firstRow="1" w:lastRow="0" w:firstColumn="1" w:lastColumn="0" w:noHBand="0" w:noVBand="1"/>
      </w:tblPr>
      <w:tblGrid>
        <w:gridCol w:w="710"/>
        <w:gridCol w:w="8363"/>
      </w:tblGrid>
      <w:tr w:rsidR="00CE6132" w:rsidRPr="00CE6132" w:rsidTr="00BD72E0">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391" w:type="pct"/>
            <w:noWrap/>
          </w:tcPr>
          <w:p w:rsidR="00CE6132" w:rsidRPr="00CE6132" w:rsidRDefault="00CE6132" w:rsidP="00CE6132">
            <w:pPr>
              <w:spacing w:before="0" w:after="0"/>
              <w:ind w:left="0" w:right="0"/>
              <w:jc w:val="left"/>
              <w:rPr>
                <w:rFonts w:ascii="Calibri" w:eastAsia="Times New Roman" w:hAnsi="Calibri" w:cs="Times New Roman"/>
                <w:sz w:val="20"/>
                <w:lang w:eastAsia="cs-CZ"/>
              </w:rPr>
            </w:pPr>
            <w:r>
              <w:rPr>
                <w:rFonts w:ascii="Calibri" w:eastAsia="Times New Roman" w:hAnsi="Calibri" w:cs="Times New Roman"/>
                <w:sz w:val="20"/>
                <w:lang w:eastAsia="cs-CZ"/>
              </w:rPr>
              <w:t>Číslo</w:t>
            </w:r>
          </w:p>
        </w:tc>
        <w:tc>
          <w:tcPr>
            <w:tcW w:w="4609" w:type="pct"/>
            <w:noWrap/>
          </w:tcPr>
          <w:p w:rsidR="00CE6132" w:rsidRPr="00CE6132" w:rsidRDefault="00CE6132" w:rsidP="00BD72E0">
            <w:pPr>
              <w:spacing w:before="0" w:after="0"/>
              <w:ind w:left="0" w:right="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sz w:val="20"/>
                <w:lang w:eastAsia="cs-CZ"/>
              </w:rPr>
            </w:pPr>
            <w:r w:rsidRPr="00CE6132">
              <w:rPr>
                <w:rFonts w:ascii="Calibri" w:eastAsia="Times New Roman" w:hAnsi="Calibri" w:cs="Times New Roman"/>
                <w:sz w:val="20"/>
                <w:lang w:eastAsia="cs-CZ"/>
              </w:rPr>
              <w:t>Název komoditní kategorie</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Paliva a elektrická energie, pára a horká voda</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Pohonné hmoty a maziva</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Kancelářská technika a zařízení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Spotřební materiál pro kancelářskou techniku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lastRenderedPageBreak/>
              <w:t>05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Materiál pro tiskařské/polygrafické účely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Počítače a stroje na zpracování dat a datová média</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Software a informační systémy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Mobilní telefony a příslušenství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09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Telekomunikační zařízení a infrastruktura</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Audiovizuální a fotografická technika</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Kancelářské potřeby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Tiskařské výrobky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Výrobky a vybavení pro sport, volný čas a materiál pro umělecké a řemeslné práce</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Čistící prostředky a jiné drogistické zboží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Nábytek</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Zařízení a vybavení interiéru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Zařízení a vybavení specializovaných pracovišť</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Zdravotnické přístroje a nástroje</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19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Zdravotnický spotřební materiál</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Léčiva</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Chemické látky a přípravky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Silniční motorová vozidla</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Díly a příslušenství pro motorová vozidla</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Ostatní dopravní prostředky a zařízení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Potraviny, nápoje, tabák, zemědělské plodiny pro výrobu potravin</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Ostatní produkty zemědělství, hospodářské produkty, produkty akvakultury, lesnictví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Krmiva</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Suroviny a produkty těžebního průmyslu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29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Oděvy, obuv, zavazadla a oděvní doplňky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Materiál pro textilní výrobu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Zemědělské a lesnické stroje</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Průmyslové stroje, stavební stroje a stroje pro hlubinné dobývání a součásti strojů a jejich součásti</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Díly a zařízení pro energetický průmysl</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Přístroje a zařízení pro radiokomunikace</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Díly a zařízení pro dopravní infrastrukturu</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Pracovní nástroje a nářadí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Stavební materiál</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Elektroinstalační materiál</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39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Demolice, zemní práce, krajinné úpravy a zahradnické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Architektonické služby, projektování a územní plánování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Stavební práce</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Pronájem dopravních prostředků</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Pronájem pracovních strojů a zařízení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Instalační a montážní práce pro stroje a zařízení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Opravy a údržba kancelářských strojů, osobních počítačů a telekomunikačních zařízení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Opravy a údržba motorových vozidel a příslušenství k nim</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Opravy a údržba letadel, železničního vozového parku a lodí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48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Opravy a údržba technických zařízení budov</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lastRenderedPageBreak/>
              <w:t>49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Ostatní opravy a údržba</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Přepravní a jiné logistické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Pomocné služby pro pozemní, vodní a leteckou dopravu</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Telekomunikační služby a Internetové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Dodávky vody a energií (veřejné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Administrativní služby státu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Služby zdravotnictví a sociální péče</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Výzkum, vývoj a související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Služby odpadového hospodářství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Environmentální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59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Poradenství a služby pro informační technologie</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Programování a vývoj software a programového vybavení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Právní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Účetnictví, daňové poradenství a auditorské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Finanční poradenství, finanční a pojišťovací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Realitní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Průzkum trhu a veřejného mínění, statistické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Reklamní a marketingové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Manažerské a podnikové poradenství</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Personální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69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Pomocné a ostatní kancelářské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Tiskařské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71</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Ubytovací služby, pohostinství, maloobchod</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72</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Služby v oblasti rekreace a sportu</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73</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Služby v oblasti kultury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74</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Vzdělávání a školení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75</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Bezpečnostní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76</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Úklidové a čistící služby</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77</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Zemědělské a lesnické služby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78</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Odborné služby pro ropný a plynárenský průmysl</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79</w:t>
            </w:r>
          </w:p>
        </w:tc>
        <w:tc>
          <w:tcPr>
            <w:tcW w:w="4609" w:type="pct"/>
            <w:noWrap/>
            <w:hideMark/>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Ostatní služby pro veřejnost</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hideMark/>
          </w:tcPr>
          <w:p w:rsidR="00CE6132" w:rsidRPr="00CE6132" w:rsidRDefault="00CE6132" w:rsidP="00970C05">
            <w:pPr>
              <w:spacing w:before="0" w:after="0"/>
              <w:jc w:val="left"/>
              <w:rPr>
                <w:rFonts w:ascii="Calibri" w:eastAsia="Times New Roman" w:hAnsi="Calibri" w:cs="Times New Roman"/>
                <w:sz w:val="20"/>
                <w:lang w:eastAsia="cs-CZ"/>
              </w:rPr>
            </w:pPr>
            <w:r w:rsidRPr="00CE6132">
              <w:rPr>
                <w:rFonts w:ascii="Calibri" w:eastAsia="Times New Roman" w:hAnsi="Calibri" w:cs="Times New Roman"/>
                <w:sz w:val="20"/>
                <w:lang w:eastAsia="cs-CZ"/>
              </w:rPr>
              <w:t>80</w:t>
            </w:r>
          </w:p>
        </w:tc>
        <w:tc>
          <w:tcPr>
            <w:tcW w:w="4609" w:type="pct"/>
            <w:noWrap/>
            <w:hideMark/>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Ostatní</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tcPr>
          <w:p w:rsidR="00CE6132" w:rsidRPr="00CE6132" w:rsidRDefault="00CE6132" w:rsidP="00970C05">
            <w:pPr>
              <w:spacing w:before="0" w:after="0"/>
              <w:jc w:val="left"/>
              <w:rPr>
                <w:rFonts w:ascii="Calibri" w:eastAsia="Times New Roman" w:hAnsi="Calibri" w:cs="Times New Roman"/>
                <w:sz w:val="20"/>
                <w:lang w:eastAsia="cs-CZ"/>
              </w:rPr>
            </w:pPr>
            <w:r>
              <w:rPr>
                <w:rFonts w:ascii="Calibri" w:eastAsia="Times New Roman" w:hAnsi="Calibri" w:cs="Times New Roman"/>
                <w:sz w:val="20"/>
                <w:lang w:eastAsia="cs-CZ"/>
              </w:rPr>
              <w:t>-</w:t>
            </w:r>
          </w:p>
        </w:tc>
        <w:tc>
          <w:tcPr>
            <w:tcW w:w="4609" w:type="pct"/>
            <w:noWrap/>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Dodávka informačních systémů včetně licencí, vývoje a podpory</w:t>
            </w:r>
            <w:r>
              <w:rPr>
                <w:rFonts w:ascii="Calibri" w:eastAsia="Times New Roman" w:hAnsi="Calibri" w:cs="Times New Roman"/>
                <w:color w:val="000000"/>
                <w:sz w:val="20"/>
                <w:lang w:eastAsia="cs-CZ"/>
              </w:rPr>
              <w:t xml:space="preserve"> </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tcPr>
          <w:p w:rsidR="00CE6132" w:rsidRPr="00CE6132" w:rsidRDefault="00CE6132" w:rsidP="00970C05">
            <w:pPr>
              <w:spacing w:before="0" w:after="0"/>
              <w:jc w:val="left"/>
              <w:rPr>
                <w:rFonts w:ascii="Calibri" w:eastAsia="Times New Roman" w:hAnsi="Calibri" w:cs="Times New Roman"/>
                <w:sz w:val="20"/>
                <w:lang w:eastAsia="cs-CZ"/>
              </w:rPr>
            </w:pPr>
            <w:r>
              <w:rPr>
                <w:rFonts w:ascii="Calibri" w:eastAsia="Times New Roman" w:hAnsi="Calibri" w:cs="Times New Roman"/>
                <w:sz w:val="20"/>
                <w:lang w:eastAsia="cs-CZ"/>
              </w:rPr>
              <w:t>-</w:t>
            </w:r>
          </w:p>
        </w:tc>
        <w:tc>
          <w:tcPr>
            <w:tcW w:w="4609" w:type="pct"/>
            <w:noWrap/>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sidRPr="00CE6132">
              <w:rPr>
                <w:rFonts w:ascii="Calibri" w:eastAsia="Times New Roman" w:hAnsi="Calibri" w:cs="Times New Roman"/>
                <w:color w:val="000000"/>
                <w:sz w:val="20"/>
                <w:lang w:eastAsia="cs-CZ"/>
              </w:rPr>
              <w:t>Konzultační služby (více oborů)</w:t>
            </w:r>
          </w:p>
        </w:tc>
      </w:tr>
      <w:tr w:rsidR="00CE6132" w:rsidRPr="00CE6132" w:rsidTr="00BD72E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1" w:type="pct"/>
            <w:noWrap/>
          </w:tcPr>
          <w:p w:rsidR="00CE6132" w:rsidRPr="00CE6132" w:rsidRDefault="00CE6132" w:rsidP="00970C05">
            <w:pPr>
              <w:spacing w:before="0" w:after="0"/>
              <w:jc w:val="left"/>
              <w:rPr>
                <w:rFonts w:ascii="Calibri" w:eastAsia="Times New Roman" w:hAnsi="Calibri" w:cs="Times New Roman"/>
                <w:sz w:val="20"/>
                <w:lang w:eastAsia="cs-CZ"/>
              </w:rPr>
            </w:pPr>
            <w:r>
              <w:rPr>
                <w:rFonts w:ascii="Calibri" w:eastAsia="Times New Roman" w:hAnsi="Calibri" w:cs="Times New Roman"/>
                <w:sz w:val="20"/>
                <w:lang w:eastAsia="cs-CZ"/>
              </w:rPr>
              <w:t>-</w:t>
            </w:r>
          </w:p>
        </w:tc>
        <w:tc>
          <w:tcPr>
            <w:tcW w:w="4609" w:type="pct"/>
            <w:noWrap/>
          </w:tcPr>
          <w:p w:rsidR="00CE6132" w:rsidRPr="00CE6132" w:rsidRDefault="00CE6132" w:rsidP="00970C05">
            <w:pPr>
              <w:spacing w:before="0"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lang w:eastAsia="cs-CZ"/>
              </w:rPr>
            </w:pPr>
            <w:r>
              <w:rPr>
                <w:rFonts w:ascii="Calibri" w:eastAsia="Times New Roman" w:hAnsi="Calibri" w:cs="Times New Roman"/>
                <w:color w:val="000000"/>
                <w:sz w:val="20"/>
                <w:lang w:eastAsia="cs-CZ"/>
              </w:rPr>
              <w:t>Služební cesty</w:t>
            </w:r>
          </w:p>
        </w:tc>
      </w:tr>
      <w:tr w:rsidR="00CE6132" w:rsidRPr="00CE6132" w:rsidTr="00BD72E0">
        <w:trPr>
          <w:trHeight w:val="300"/>
        </w:trPr>
        <w:tc>
          <w:tcPr>
            <w:cnfStyle w:val="001000000000" w:firstRow="0" w:lastRow="0" w:firstColumn="1" w:lastColumn="0" w:oddVBand="0" w:evenVBand="0" w:oddHBand="0" w:evenHBand="0" w:firstRowFirstColumn="0" w:firstRowLastColumn="0" w:lastRowFirstColumn="0" w:lastRowLastColumn="0"/>
            <w:tcW w:w="391" w:type="pct"/>
            <w:noWrap/>
          </w:tcPr>
          <w:p w:rsidR="00CE6132" w:rsidRPr="00CE6132" w:rsidRDefault="00CE6132" w:rsidP="00970C05">
            <w:pPr>
              <w:spacing w:before="0" w:after="0"/>
              <w:jc w:val="left"/>
              <w:rPr>
                <w:rFonts w:ascii="Calibri" w:eastAsia="Times New Roman" w:hAnsi="Calibri" w:cs="Times New Roman"/>
                <w:sz w:val="20"/>
                <w:lang w:eastAsia="cs-CZ"/>
              </w:rPr>
            </w:pPr>
            <w:r>
              <w:rPr>
                <w:rFonts w:ascii="Calibri" w:eastAsia="Times New Roman" w:hAnsi="Calibri" w:cs="Times New Roman"/>
                <w:sz w:val="20"/>
                <w:lang w:eastAsia="cs-CZ"/>
              </w:rPr>
              <w:t>-</w:t>
            </w:r>
          </w:p>
        </w:tc>
        <w:tc>
          <w:tcPr>
            <w:tcW w:w="4609" w:type="pct"/>
            <w:noWrap/>
          </w:tcPr>
          <w:p w:rsidR="00CE6132" w:rsidRPr="00CE6132" w:rsidRDefault="00CE6132" w:rsidP="00970C05">
            <w:pPr>
              <w:spacing w:before="0"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lang w:eastAsia="cs-CZ"/>
              </w:rPr>
            </w:pPr>
            <w:r>
              <w:rPr>
                <w:rFonts w:ascii="Calibri" w:eastAsia="Times New Roman" w:hAnsi="Calibri" w:cs="Times New Roman"/>
                <w:color w:val="000000"/>
                <w:sz w:val="20"/>
                <w:lang w:eastAsia="cs-CZ"/>
              </w:rPr>
              <w:t>Stravenky</w:t>
            </w:r>
          </w:p>
        </w:tc>
      </w:tr>
    </w:tbl>
    <w:p w:rsidR="008F7689" w:rsidRDefault="00A21790" w:rsidP="00AC4617">
      <w:pPr>
        <w:pStyle w:val="Nadpis2"/>
      </w:pPr>
      <w:bookmarkStart w:id="25" w:name="_Toc411438731"/>
      <w:r>
        <w:t>Kategorizace</w:t>
      </w:r>
      <w:r w:rsidR="008F7689">
        <w:t xml:space="preserve"> faktur</w:t>
      </w:r>
      <w:bookmarkEnd w:id="25"/>
    </w:p>
    <w:p w:rsidR="008F7689" w:rsidRDefault="008F7689" w:rsidP="008F7689">
      <w:r>
        <w:t>Zdrojová data získaná z informačních systém</w:t>
      </w:r>
      <w:r w:rsidR="006A4EF0">
        <w:t>ů</w:t>
      </w:r>
      <w:r>
        <w:t xml:space="preserve"> resortů byla sjednocena do tabulkové struktury, kde každý řádek identifikuje jednu fakturu. U faktur byly takto získány údaje zahrnující informace o zadavateli (název OSS a IČO), dodavateli (název a IČO), částce, datům splatnosti a úhrady a poli popisující účel platby. Data ze zdrojových systémů </w:t>
      </w:r>
      <w:r w:rsidR="00A21790">
        <w:t>nebyla dále</w:t>
      </w:r>
      <w:r>
        <w:t xml:space="preserve"> modifikována.</w:t>
      </w:r>
    </w:p>
    <w:p w:rsidR="008F7689" w:rsidRDefault="008F7689" w:rsidP="008F7689">
      <w:r>
        <w:lastRenderedPageBreak/>
        <w:t>Primárním zdrojem informací pro klasifikaci bylo pole obsahující účel platby, které však nebyl</w:t>
      </w:r>
      <w:r w:rsidR="006A4EF0">
        <w:t>o</w:t>
      </w:r>
      <w:r>
        <w:t xml:space="preserve"> ve zdrojových systémech vyplněno u všech faktur. Proto byla </w:t>
      </w:r>
      <w:r w:rsidR="007D2CDD">
        <w:t xml:space="preserve">jako doplňující </w:t>
      </w:r>
      <w:r>
        <w:t>použita následující pri</w:t>
      </w:r>
      <w:r w:rsidR="006A4EF0">
        <w:t>o</w:t>
      </w:r>
      <w:r>
        <w:t>ritizace zdrojů informací pro určování komoditních kategorií:</w:t>
      </w:r>
    </w:p>
    <w:p w:rsidR="008F7689" w:rsidRDefault="008F7689" w:rsidP="008F7689">
      <w:pPr>
        <w:pStyle w:val="Odstavecseseznamem"/>
        <w:numPr>
          <w:ilvl w:val="0"/>
          <w:numId w:val="29"/>
        </w:numPr>
      </w:pPr>
      <w:r>
        <w:t>dohledání zakázky v registrech veřejných zakázek dle informací v poli účelu platby</w:t>
      </w:r>
    </w:p>
    <w:p w:rsidR="008F7689" w:rsidRDefault="008F7689" w:rsidP="008F7689">
      <w:pPr>
        <w:pStyle w:val="Odstavecseseznamem"/>
        <w:numPr>
          <w:ilvl w:val="0"/>
          <w:numId w:val="29"/>
        </w:numPr>
      </w:pPr>
      <w:r>
        <w:t>dohledání zakázky v registrech veřejných zakázek dle data, objemu a dodavatele</w:t>
      </w:r>
    </w:p>
    <w:p w:rsidR="008F7689" w:rsidRDefault="008F7689" w:rsidP="008F7689">
      <w:pPr>
        <w:pStyle w:val="Odstavecseseznamem"/>
        <w:numPr>
          <w:ilvl w:val="0"/>
          <w:numId w:val="29"/>
        </w:numPr>
      </w:pPr>
      <w:r>
        <w:t>obor podnikání dodavatele dle veřejně dostupných zdrojů (obchodní rejstřík, registry veřejných zakázek, nabídka dodavatele), je-li jednoznačně zařaditelný do komoditní kategorie</w:t>
      </w:r>
    </w:p>
    <w:p w:rsidR="008F7689" w:rsidRDefault="00A21790" w:rsidP="00AC4617">
      <w:pPr>
        <w:pStyle w:val="Nadpis2"/>
      </w:pPr>
      <w:bookmarkStart w:id="26" w:name="_Toc411438732"/>
      <w:r>
        <w:t>Analýza</w:t>
      </w:r>
      <w:bookmarkEnd w:id="26"/>
    </w:p>
    <w:p w:rsidR="00970C05" w:rsidRDefault="00970C05" w:rsidP="008018D4">
      <w:pPr>
        <w:rPr>
          <w:lang w:eastAsia="cs-CZ"/>
        </w:rPr>
      </w:pPr>
      <w:r>
        <w:rPr>
          <w:lang w:eastAsia="cs-CZ"/>
        </w:rPr>
        <w:t>Pro jednotlivé komoditní kategorie byl zjištěn počet faktur a fin</w:t>
      </w:r>
      <w:r w:rsidR="00CD3158">
        <w:rPr>
          <w:lang w:eastAsia="cs-CZ"/>
        </w:rPr>
        <w:t>a</w:t>
      </w:r>
      <w:r>
        <w:rPr>
          <w:lang w:eastAsia="cs-CZ"/>
        </w:rPr>
        <w:t>nční objem výdajů. Pro účely centrálního nákupu byly následně komoditní kategorie zařazeny do skupin dle seznamu komo</w:t>
      </w:r>
      <w:r w:rsidR="00DA41E5">
        <w:rPr>
          <w:lang w:eastAsia="cs-CZ"/>
        </w:rPr>
        <w:softHyphen/>
      </w:r>
      <w:r>
        <w:rPr>
          <w:lang w:eastAsia="cs-CZ"/>
        </w:rPr>
        <w:t xml:space="preserve">dit vhodných k centrálnímu nákupu v kapitole </w:t>
      </w:r>
      <w:r>
        <w:rPr>
          <w:lang w:eastAsia="cs-CZ"/>
        </w:rPr>
        <w:fldChar w:fldCharType="begin"/>
      </w:r>
      <w:r>
        <w:rPr>
          <w:lang w:eastAsia="cs-CZ"/>
        </w:rPr>
        <w:instrText xml:space="preserve"> REF _Ref411429857 \r \h </w:instrText>
      </w:r>
      <w:r>
        <w:rPr>
          <w:lang w:eastAsia="cs-CZ"/>
        </w:rPr>
      </w:r>
      <w:r>
        <w:rPr>
          <w:lang w:eastAsia="cs-CZ"/>
        </w:rPr>
        <w:fldChar w:fldCharType="separate"/>
      </w:r>
      <w:r w:rsidR="00297831">
        <w:rPr>
          <w:lang w:eastAsia="cs-CZ"/>
        </w:rPr>
        <w:t>1.1</w:t>
      </w:r>
      <w:r>
        <w:rPr>
          <w:lang w:eastAsia="cs-CZ"/>
        </w:rPr>
        <w:fldChar w:fldCharType="end"/>
      </w:r>
      <w:r w:rsidR="00B52FD3">
        <w:rPr>
          <w:lang w:eastAsia="cs-CZ"/>
        </w:rPr>
        <w:t>,</w:t>
      </w:r>
      <w:r>
        <w:rPr>
          <w:lang w:eastAsia="cs-CZ"/>
        </w:rPr>
        <w:t xml:space="preserve"> </w:t>
      </w:r>
      <w:r w:rsidR="00117873">
        <w:rPr>
          <w:lang w:eastAsia="cs-CZ"/>
        </w:rPr>
        <w:t>K</w:t>
      </w:r>
      <w:r w:rsidR="00B52FD3">
        <w:rPr>
          <w:lang w:eastAsia="cs-CZ"/>
        </w:rPr>
        <w:t xml:space="preserve">aždá </w:t>
      </w:r>
      <w:r>
        <w:rPr>
          <w:lang w:eastAsia="cs-CZ"/>
        </w:rPr>
        <w:t>tato skupina byla zanalyzována</w:t>
      </w:r>
      <w:r w:rsidR="00B52FD3">
        <w:rPr>
          <w:lang w:eastAsia="cs-CZ"/>
        </w:rPr>
        <w:t xml:space="preserve"> a byl </w:t>
      </w:r>
      <w:r>
        <w:rPr>
          <w:lang w:eastAsia="cs-CZ"/>
        </w:rPr>
        <w:t>určen finanční</w:t>
      </w:r>
      <w:r w:rsidR="00B52FD3">
        <w:rPr>
          <w:lang w:eastAsia="cs-CZ"/>
        </w:rPr>
        <w:t xml:space="preserve"> objem, počet faktur</w:t>
      </w:r>
      <w:r w:rsidR="00117873">
        <w:rPr>
          <w:lang w:eastAsia="cs-CZ"/>
        </w:rPr>
        <w:t xml:space="preserve">, </w:t>
      </w:r>
      <w:r>
        <w:rPr>
          <w:lang w:eastAsia="cs-CZ"/>
        </w:rPr>
        <w:t>průměrná a mediánová hodnota faktury</w:t>
      </w:r>
      <w:r w:rsidR="00117873">
        <w:rPr>
          <w:lang w:eastAsia="cs-CZ"/>
        </w:rPr>
        <w:t xml:space="preserve"> v rámci dané skupiny</w:t>
      </w:r>
      <w:r>
        <w:rPr>
          <w:lang w:eastAsia="cs-CZ"/>
        </w:rPr>
        <w:t>.</w:t>
      </w:r>
    </w:p>
    <w:p w:rsidR="00970C05" w:rsidRPr="008018D4" w:rsidRDefault="00970C05" w:rsidP="008018D4">
      <w:pPr>
        <w:rPr>
          <w:lang w:eastAsia="cs-CZ"/>
        </w:rPr>
      </w:pPr>
      <w:r>
        <w:rPr>
          <w:lang w:eastAsia="cs-CZ"/>
        </w:rPr>
        <w:t>Faktury byly dále seskupeny dle IČO dodavatelů a pro každou skupinu komoditních kategorií byl zjištěn počet</w:t>
      </w:r>
      <w:r w:rsidR="00D63FC5">
        <w:rPr>
          <w:lang w:eastAsia="cs-CZ"/>
        </w:rPr>
        <w:t xml:space="preserve"> dodavatelů,</w:t>
      </w:r>
      <w:r w:rsidR="006A4EF0">
        <w:rPr>
          <w:lang w:eastAsia="cs-CZ"/>
        </w:rPr>
        <w:t xml:space="preserve"> </w:t>
      </w:r>
      <w:r>
        <w:rPr>
          <w:lang w:eastAsia="cs-CZ"/>
        </w:rPr>
        <w:t>prům</w:t>
      </w:r>
      <w:r w:rsidR="00D63FC5">
        <w:rPr>
          <w:lang w:eastAsia="cs-CZ"/>
        </w:rPr>
        <w:t>ěrný počet faktur na dodavatele a průměrný finanční objem na dodavatele.</w:t>
      </w:r>
    </w:p>
    <w:p w:rsidR="00A21790" w:rsidRPr="00A21790" w:rsidRDefault="00A21790" w:rsidP="00A21790">
      <w:pPr>
        <w:rPr>
          <w:lang w:eastAsia="cs-CZ"/>
        </w:rPr>
      </w:pPr>
    </w:p>
    <w:sectPr w:rsidR="00A21790" w:rsidRPr="00A21790" w:rsidSect="006A4EF0">
      <w:footerReference w:type="default" r:id="rId13"/>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DF8" w:rsidRDefault="00D15DF8" w:rsidP="000429C5">
      <w:r>
        <w:separator/>
      </w:r>
    </w:p>
    <w:p w:rsidR="00D15DF8" w:rsidRDefault="00D15DF8"/>
  </w:endnote>
  <w:endnote w:type="continuationSeparator" w:id="0">
    <w:p w:rsidR="00D15DF8" w:rsidRDefault="00D15DF8" w:rsidP="000429C5">
      <w:r>
        <w:continuationSeparator/>
      </w:r>
    </w:p>
    <w:p w:rsidR="00D15DF8" w:rsidRDefault="00D15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00002FF" w:usb1="4000A47B"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808" w:rsidRDefault="00455808" w:rsidP="00054269">
    <w:pPr>
      <w:pStyle w:val="Zpat"/>
      <w:jc w:val="center"/>
    </w:pPr>
    <w:r w:rsidRPr="00AE4A27">
      <w:t xml:space="preserve">Strana </w:t>
    </w:r>
    <w:r w:rsidRPr="00AE4A27">
      <w:fldChar w:fldCharType="begin"/>
    </w:r>
    <w:r w:rsidRPr="00AE4A27">
      <w:instrText xml:space="preserve"> PAGE  \* Arabic  \* MERGEFORMAT </w:instrText>
    </w:r>
    <w:r w:rsidRPr="00AE4A27">
      <w:fldChar w:fldCharType="separate"/>
    </w:r>
    <w:r w:rsidR="00297831">
      <w:rPr>
        <w:noProof/>
      </w:rPr>
      <w:t>8</w:t>
    </w:r>
    <w:r w:rsidRPr="00AE4A27">
      <w:rPr>
        <w:noProof/>
      </w:rPr>
      <w:fldChar w:fldCharType="end"/>
    </w:r>
    <w:r w:rsidRPr="00AE4A27">
      <w:t xml:space="preserve"> z </w:t>
    </w:r>
    <w:r w:rsidRPr="00AE4A27">
      <w:fldChar w:fldCharType="begin"/>
    </w:r>
    <w:r w:rsidRPr="00AE4A27">
      <w:instrText>NUMPAGES</w:instrText>
    </w:r>
    <w:r w:rsidRPr="00AE4A27">
      <w:fldChar w:fldCharType="separate"/>
    </w:r>
    <w:r w:rsidR="00297831">
      <w:rPr>
        <w:noProof/>
      </w:rPr>
      <w:t>10</w:t>
    </w:r>
    <w:r w:rsidRPr="00AE4A2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DF8" w:rsidRDefault="00D15DF8" w:rsidP="000429C5">
      <w:r>
        <w:separator/>
      </w:r>
    </w:p>
  </w:footnote>
  <w:footnote w:type="continuationSeparator" w:id="0">
    <w:p w:rsidR="00D15DF8" w:rsidRDefault="00D15DF8" w:rsidP="000429C5">
      <w:r>
        <w:continuationSeparator/>
      </w:r>
    </w:p>
    <w:p w:rsidR="00D15DF8" w:rsidRDefault="00D15DF8"/>
  </w:footnote>
  <w:footnote w:id="1">
    <w:p w:rsidR="00455808" w:rsidRPr="004319CB" w:rsidRDefault="00455808" w:rsidP="00000632">
      <w:pPr>
        <w:pStyle w:val="Textpoznpodarou"/>
        <w:rPr>
          <w:b/>
        </w:rPr>
      </w:pPr>
      <w:r>
        <w:rPr>
          <w:rStyle w:val="Znakapoznpodarou"/>
        </w:rPr>
        <w:footnoteRef/>
      </w:r>
      <w:r>
        <w:t xml:space="preserve"> </w:t>
      </w:r>
      <w:r w:rsidRPr="008A42E5">
        <w:rPr>
          <w:b/>
        </w:rPr>
        <w:t>Resort Ministerstva financí</w:t>
      </w:r>
      <w:r>
        <w:t xml:space="preserve"> (Ministerstvo financí</w:t>
      </w:r>
      <w:r w:rsidRPr="008A42E5">
        <w:t xml:space="preserve"> </w:t>
      </w:r>
      <w:r>
        <w:t xml:space="preserve">České republiky), </w:t>
      </w:r>
      <w:r w:rsidRPr="008A42E5">
        <w:rPr>
          <w:b/>
        </w:rPr>
        <w:t>Ministerstva životního prostředí</w:t>
      </w:r>
      <w:r>
        <w:t xml:space="preserve"> (Ministerstvo životního prostředí České republiky, Agentura ochrany přírody a krajiny ČR, </w:t>
      </w:r>
      <w:r w:rsidRPr="00227825">
        <w:t>Správa Národního parku a chráněné krajinné oblasti Šumava</w:t>
      </w:r>
      <w:r>
        <w:t xml:space="preserve">, </w:t>
      </w:r>
      <w:r w:rsidRPr="00227825">
        <w:t>Správa Krkonošského národního parku</w:t>
      </w:r>
      <w:r>
        <w:t xml:space="preserve">, Státní fond životního prostředí České </w:t>
      </w:r>
      <w:r w:rsidRPr="008A42E5">
        <w:t xml:space="preserve">republiky, </w:t>
      </w:r>
      <w:r w:rsidRPr="008A42E5">
        <w:rPr>
          <w:bCs/>
        </w:rPr>
        <w:t>Český hydrometeorologický ústav, Česká geologická služba, Správa Národního parku České Švýcarsko, Správa jeskyní České republiky, Správa Národního parku Podyjí)</w:t>
      </w:r>
      <w:r w:rsidRPr="008A42E5">
        <w:t xml:space="preserve">, </w:t>
      </w:r>
      <w:r w:rsidRPr="008A42E5">
        <w:rPr>
          <w:b/>
        </w:rPr>
        <w:t>Ministerstva pro místní rozvoj</w:t>
      </w:r>
      <w:r>
        <w:t xml:space="preserve"> (Ministerstvo pro místní rozvoj České republiky, </w:t>
      </w:r>
      <w:r w:rsidRPr="008A42E5">
        <w:t xml:space="preserve">Česká centrála cestovního ruchu </w:t>
      </w:r>
      <w:r>
        <w:t>–</w:t>
      </w:r>
      <w:r w:rsidRPr="008A42E5">
        <w:t xml:space="preserve"> CzechTourism</w:t>
      </w:r>
      <w:r>
        <w:t xml:space="preserve">, </w:t>
      </w:r>
      <w:r w:rsidRPr="008A42E5">
        <w:t>Státní fond rozvoje bydlení, Centrum pro regionální rozvoj ČR, Ústav územního rozvoje</w:t>
      </w:r>
      <w:r>
        <w:t>)</w:t>
      </w:r>
      <w:r w:rsidRPr="008A42E5">
        <w:t>,</w:t>
      </w:r>
      <w:r w:rsidRPr="008A42E5">
        <w:rPr>
          <w:b/>
        </w:rPr>
        <w:t xml:space="preserve"> Ministerstva dopravy</w:t>
      </w:r>
      <w:r w:rsidRPr="008A42E5">
        <w:t xml:space="preserve"> (</w:t>
      </w:r>
      <w:r>
        <w:t xml:space="preserve">Ministerstvo dopravy České republiky, </w:t>
      </w:r>
      <w:r w:rsidRPr="004319CB">
        <w:rPr>
          <w:bCs/>
        </w:rPr>
        <w:t>Ředitelství vodních cest ČR, Státní fond dopravní infrastruktury, Centrum dopravního výzkumu, v.v.i., Centrum služeb pro silniční dopravu, Úřad pro civilní letectví, Drážní úřad, Státní plavební správa, Ústav pro odborné zjišťování příčin leteckých nehod</w:t>
      </w:r>
      <w:r>
        <w:rPr>
          <w:bCs/>
        </w:rPr>
        <w:t xml:space="preserve">, tj. </w:t>
      </w:r>
      <w:r w:rsidRPr="008A42E5">
        <w:t>vyjma Ředitelství silnic</w:t>
      </w:r>
      <w:r>
        <w:t xml:space="preserve"> a dálnic, Správy železniční a dopravní cesty a Českých drah), </w:t>
      </w:r>
      <w:r w:rsidRPr="008A42E5">
        <w:rPr>
          <w:b/>
        </w:rPr>
        <w:t>Ministerstva obrany</w:t>
      </w:r>
      <w:r>
        <w:t xml:space="preserve"> (Ministerstvo obrany České republiky) a </w:t>
      </w:r>
      <w:r w:rsidRPr="008A42E5">
        <w:rPr>
          <w:b/>
        </w:rPr>
        <w:t>Ministerstva spravedlnosti</w:t>
      </w:r>
      <w:r>
        <w:rPr>
          <w:b/>
        </w:rPr>
        <w:t xml:space="preserve"> </w:t>
      </w:r>
      <w:r w:rsidRPr="004319CB">
        <w:t>(Ministerstvo spravedlnosti České republiky)</w:t>
      </w:r>
      <w:r>
        <w:t>.</w:t>
      </w:r>
    </w:p>
  </w:footnote>
  <w:footnote w:id="2">
    <w:p w:rsidR="00117873" w:rsidRDefault="00117873">
      <w:pPr>
        <w:pStyle w:val="Textpoznpodarou"/>
      </w:pPr>
      <w:r>
        <w:rPr>
          <w:rStyle w:val="Znakapoznpodarou"/>
        </w:rPr>
        <w:footnoteRef/>
      </w:r>
      <w:r>
        <w:t xml:space="preserve"> Užší pojetí: Energie a správa budov, Doprava a ubytování, ICT komodity, Vozový park a pohonné hmoty, Kancelářské potřeby a Kancelářská technika</w:t>
      </w:r>
    </w:p>
  </w:footnote>
  <w:footnote w:id="3">
    <w:p w:rsidR="00117873" w:rsidRDefault="00117873">
      <w:pPr>
        <w:pStyle w:val="Textpoznpodarou"/>
      </w:pPr>
      <w:r>
        <w:rPr>
          <w:rStyle w:val="Znakapoznpodarou"/>
        </w:rPr>
        <w:footnoteRef/>
      </w:r>
      <w:r>
        <w:t xml:space="preserve"> Širší pojetí: Navíc Právní a poradenské služby, Vzdělávání a školení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808" w:rsidRPr="005C26D5" w:rsidRDefault="00455808" w:rsidP="006A4EF0">
    <w:pPr>
      <w:pStyle w:val="Zhlav"/>
      <w:jc w:val="right"/>
      <w:rPr>
        <w:i/>
      </w:rPr>
    </w:pPr>
    <w:r>
      <w:rPr>
        <w:noProof/>
        <w:lang w:eastAsia="cs-CZ"/>
      </w:rPr>
      <w:drawing>
        <wp:anchor distT="0" distB="0" distL="114300" distR="114300" simplePos="0" relativeHeight="251659264" behindDoc="0" locked="0" layoutInCell="1" allowOverlap="1" wp14:anchorId="12E86707" wp14:editId="78C537FA">
          <wp:simplePos x="0" y="0"/>
          <wp:positionH relativeFrom="column">
            <wp:posOffset>-67310</wp:posOffset>
          </wp:positionH>
          <wp:positionV relativeFrom="paragraph">
            <wp:posOffset>-175895</wp:posOffset>
          </wp:positionV>
          <wp:extent cx="1543792" cy="520445"/>
          <wp:effectExtent l="0" t="0" r="0" b="0"/>
          <wp:wrapNone/>
          <wp:docPr id="5" name="Obrázek 5" descr="http://www.lookcool.cz/wp-content/uploads/2013/12/Ministerstvo-financ%C3%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ookcool.cz/wp-content/uploads/2013/12/Ministerstvo-financ%C3%A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792" cy="520445"/>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sdt>
      <w:sdtPr>
        <w:rPr>
          <w:sz w:val="18"/>
          <w:szCs w:val="18"/>
        </w:rPr>
        <w:alias w:val="Title"/>
        <w:id w:val="1642924402"/>
        <w:dataBinding w:prefixMappings="xmlns:ns0='http://purl.org/dc/elements/1.1/' xmlns:ns1='http://schemas.openxmlformats.org/package/2006/metadata/core-properties' " w:xpath="/ns1:coreProperties[1]/ns0:title[1]" w:storeItemID="{6C3C8BC8-F283-45AE-878A-BAB7291924A1}"/>
        <w:text/>
      </w:sdtPr>
      <w:sdtEndPr/>
      <w:sdtContent>
        <w:r w:rsidR="00B65B5A">
          <w:rPr>
            <w:sz w:val="18"/>
            <w:szCs w:val="18"/>
          </w:rPr>
          <w:t>Analýza provozních výdajů na úrovni státní správy</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D689E6"/>
    <w:lvl w:ilvl="0">
      <w:start w:val="1"/>
      <w:numFmt w:val="decimal"/>
      <w:lvlText w:val="%1."/>
      <w:lvlJc w:val="left"/>
      <w:pPr>
        <w:tabs>
          <w:tab w:val="num" w:pos="1492"/>
        </w:tabs>
        <w:ind w:left="1492" w:hanging="360"/>
      </w:pPr>
    </w:lvl>
  </w:abstractNum>
  <w:abstractNum w:abstractNumId="1">
    <w:nsid w:val="FFFFFF7D"/>
    <w:multiLevelType w:val="singleLevel"/>
    <w:tmpl w:val="4A54FB6C"/>
    <w:lvl w:ilvl="0">
      <w:start w:val="1"/>
      <w:numFmt w:val="decimal"/>
      <w:lvlText w:val="%1."/>
      <w:lvlJc w:val="left"/>
      <w:pPr>
        <w:tabs>
          <w:tab w:val="num" w:pos="1209"/>
        </w:tabs>
        <w:ind w:left="1209" w:hanging="360"/>
      </w:pPr>
    </w:lvl>
  </w:abstractNum>
  <w:abstractNum w:abstractNumId="2">
    <w:nsid w:val="FFFFFF7E"/>
    <w:multiLevelType w:val="singleLevel"/>
    <w:tmpl w:val="77C8915A"/>
    <w:lvl w:ilvl="0">
      <w:start w:val="1"/>
      <w:numFmt w:val="decimal"/>
      <w:lvlText w:val="%1."/>
      <w:lvlJc w:val="left"/>
      <w:pPr>
        <w:tabs>
          <w:tab w:val="num" w:pos="926"/>
        </w:tabs>
        <w:ind w:left="926" w:hanging="360"/>
      </w:pPr>
    </w:lvl>
  </w:abstractNum>
  <w:abstractNum w:abstractNumId="3">
    <w:nsid w:val="FFFFFF7F"/>
    <w:multiLevelType w:val="singleLevel"/>
    <w:tmpl w:val="451CCBD0"/>
    <w:lvl w:ilvl="0">
      <w:start w:val="1"/>
      <w:numFmt w:val="decimal"/>
      <w:lvlText w:val="%1."/>
      <w:lvlJc w:val="left"/>
      <w:pPr>
        <w:tabs>
          <w:tab w:val="num" w:pos="643"/>
        </w:tabs>
        <w:ind w:left="643" w:hanging="360"/>
      </w:pPr>
    </w:lvl>
  </w:abstractNum>
  <w:abstractNum w:abstractNumId="4">
    <w:nsid w:val="FFFFFF80"/>
    <w:multiLevelType w:val="singleLevel"/>
    <w:tmpl w:val="709209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EA57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D678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DC71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205146"/>
    <w:lvl w:ilvl="0">
      <w:start w:val="1"/>
      <w:numFmt w:val="decimal"/>
      <w:lvlText w:val="%1."/>
      <w:lvlJc w:val="left"/>
      <w:pPr>
        <w:tabs>
          <w:tab w:val="num" w:pos="360"/>
        </w:tabs>
        <w:ind w:left="360" w:hanging="360"/>
      </w:pPr>
    </w:lvl>
  </w:abstractNum>
  <w:abstractNum w:abstractNumId="9">
    <w:nsid w:val="FFFFFF89"/>
    <w:multiLevelType w:val="singleLevel"/>
    <w:tmpl w:val="CAF0F76E"/>
    <w:lvl w:ilvl="0">
      <w:start w:val="1"/>
      <w:numFmt w:val="bullet"/>
      <w:lvlText w:val=""/>
      <w:lvlJc w:val="left"/>
      <w:pPr>
        <w:tabs>
          <w:tab w:val="num" w:pos="360"/>
        </w:tabs>
        <w:ind w:left="360" w:hanging="360"/>
      </w:pPr>
      <w:rPr>
        <w:rFonts w:ascii="Symbol" w:hAnsi="Symbol" w:hint="default"/>
      </w:rPr>
    </w:lvl>
  </w:abstractNum>
  <w:abstractNum w:abstractNumId="10">
    <w:nsid w:val="0116568C"/>
    <w:multiLevelType w:val="multilevel"/>
    <w:tmpl w:val="34EA6CC2"/>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432" w:hanging="432"/>
      </w:pPr>
      <w:rPr>
        <w:rFonts w:hint="default"/>
      </w:rPr>
    </w:lvl>
    <w:lvl w:ilvl="2">
      <w:start w:val="1"/>
      <w:numFmt w:val="decimal"/>
      <w:pStyle w:val="Nadpis3"/>
      <w:lvlText w:val="%1.%2.%3"/>
      <w:lvlJc w:val="left"/>
      <w:pPr>
        <w:ind w:left="1072" w:hanging="504"/>
      </w:pPr>
      <w:rPr>
        <w:rFonts w:hint="default"/>
        <w:i w:val="0"/>
      </w:rPr>
    </w:lvl>
    <w:lvl w:ilvl="3">
      <w:start w:val="1"/>
      <w:numFmt w:val="decimal"/>
      <w:pStyle w:val="Nadpis4"/>
      <w:lvlText w:val="%1.%2.%3.%4"/>
      <w:lvlJc w:val="left"/>
      <w:pPr>
        <w:ind w:left="1728" w:hanging="10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AC0280E"/>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68E0162"/>
    <w:multiLevelType w:val="hybridMultilevel"/>
    <w:tmpl w:val="8FCAD9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5BE1581"/>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19C6008"/>
    <w:multiLevelType w:val="hybridMultilevel"/>
    <w:tmpl w:val="BB38F9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7B819AA"/>
    <w:multiLevelType w:val="hybridMultilevel"/>
    <w:tmpl w:val="A420E6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A651E3"/>
    <w:multiLevelType w:val="hybridMultilevel"/>
    <w:tmpl w:val="5EA44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0550BF1"/>
    <w:multiLevelType w:val="hybridMultilevel"/>
    <w:tmpl w:val="1E9CA4EC"/>
    <w:lvl w:ilvl="0" w:tplc="C7B02136">
      <w:start w:val="1"/>
      <w:numFmt w:val="bullet"/>
      <w:lvlText w:val=""/>
      <w:lvlJc w:val="left"/>
      <w:pPr>
        <w:ind w:left="720" w:hanging="360"/>
      </w:pPr>
      <w:rPr>
        <w:rFonts w:ascii="Symbol" w:hAnsi="Symbol" w:hint="default"/>
      </w:rPr>
    </w:lvl>
    <w:lvl w:ilvl="1" w:tplc="A366F4EC">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B4359C4"/>
    <w:multiLevelType w:val="hybridMultilevel"/>
    <w:tmpl w:val="F2F2E8BA"/>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34935A9"/>
    <w:multiLevelType w:val="hybridMultilevel"/>
    <w:tmpl w:val="58D2D5E6"/>
    <w:lvl w:ilvl="0" w:tplc="938A899E">
      <w:start w:val="1"/>
      <w:numFmt w:val="bullet"/>
      <w:pStyle w:val="Bulletslevel1"/>
      <w:lvlText w:val=""/>
      <w:lvlJc w:val="left"/>
      <w:pPr>
        <w:ind w:left="720" w:hanging="360"/>
      </w:pPr>
      <w:rPr>
        <w:rFonts w:ascii="Symbol" w:hAnsi="Symbol" w:hint="default"/>
        <w:b w:val="0"/>
        <w:i w:val="0"/>
        <w:sz w:val="19"/>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69A40910"/>
    <w:multiLevelType w:val="hybridMultilevel"/>
    <w:tmpl w:val="97BEEFF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5455EF"/>
    <w:multiLevelType w:val="hybridMultilevel"/>
    <w:tmpl w:val="D0DC3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711A5400"/>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71A63B1F"/>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F8E4C5B"/>
    <w:multiLevelType w:val="hybridMultilevel"/>
    <w:tmpl w:val="248C51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9"/>
  </w:num>
  <w:num w:numId="4">
    <w:abstractNumId w:val="16"/>
  </w:num>
  <w:num w:numId="5">
    <w:abstractNumId w:val="10"/>
  </w:num>
  <w:num w:numId="6">
    <w:abstractNumId w:val="10"/>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0"/>
  </w:num>
  <w:num w:numId="20">
    <w:abstractNumId w:val="13"/>
  </w:num>
  <w:num w:numId="21">
    <w:abstractNumId w:val="20"/>
  </w:num>
  <w:num w:numId="22">
    <w:abstractNumId w:val="23"/>
  </w:num>
  <w:num w:numId="23">
    <w:abstractNumId w:val="18"/>
  </w:num>
  <w:num w:numId="24">
    <w:abstractNumId w:val="22"/>
  </w:num>
  <w:num w:numId="25">
    <w:abstractNumId w:val="11"/>
  </w:num>
  <w:num w:numId="26">
    <w:abstractNumId w:val="21"/>
  </w:num>
  <w:num w:numId="27">
    <w:abstractNumId w:val="12"/>
  </w:num>
  <w:num w:numId="28">
    <w:abstractNumId w:val="15"/>
  </w:num>
  <w:num w:numId="2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efaultTableStyle w:val="Tabulka4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AF6"/>
    <w:rsid w:val="00000506"/>
    <w:rsid w:val="00000632"/>
    <w:rsid w:val="000012DC"/>
    <w:rsid w:val="00002A80"/>
    <w:rsid w:val="0000627D"/>
    <w:rsid w:val="000105F6"/>
    <w:rsid w:val="00011587"/>
    <w:rsid w:val="00012E96"/>
    <w:rsid w:val="000170DE"/>
    <w:rsid w:val="00020C31"/>
    <w:rsid w:val="00026CD1"/>
    <w:rsid w:val="00027596"/>
    <w:rsid w:val="00040E3E"/>
    <w:rsid w:val="0004243F"/>
    <w:rsid w:val="000429C5"/>
    <w:rsid w:val="00046186"/>
    <w:rsid w:val="000462CC"/>
    <w:rsid w:val="00047492"/>
    <w:rsid w:val="00047F05"/>
    <w:rsid w:val="000514D9"/>
    <w:rsid w:val="000516C9"/>
    <w:rsid w:val="00054269"/>
    <w:rsid w:val="00054CA0"/>
    <w:rsid w:val="00055D52"/>
    <w:rsid w:val="000631B5"/>
    <w:rsid w:val="00063CF6"/>
    <w:rsid w:val="00067C29"/>
    <w:rsid w:val="0007016A"/>
    <w:rsid w:val="000716BF"/>
    <w:rsid w:val="00071951"/>
    <w:rsid w:val="00073211"/>
    <w:rsid w:val="00073749"/>
    <w:rsid w:val="00074734"/>
    <w:rsid w:val="00074B7C"/>
    <w:rsid w:val="00080978"/>
    <w:rsid w:val="00081D29"/>
    <w:rsid w:val="00081FFB"/>
    <w:rsid w:val="00083D4E"/>
    <w:rsid w:val="000840BF"/>
    <w:rsid w:val="00087033"/>
    <w:rsid w:val="000878A2"/>
    <w:rsid w:val="00090AC2"/>
    <w:rsid w:val="000927A8"/>
    <w:rsid w:val="0009372B"/>
    <w:rsid w:val="000943E0"/>
    <w:rsid w:val="0009589A"/>
    <w:rsid w:val="00096973"/>
    <w:rsid w:val="000A23C1"/>
    <w:rsid w:val="000A75AF"/>
    <w:rsid w:val="000B2D85"/>
    <w:rsid w:val="000B40B9"/>
    <w:rsid w:val="000B5C9E"/>
    <w:rsid w:val="000C01EF"/>
    <w:rsid w:val="000C0FEC"/>
    <w:rsid w:val="000C1A33"/>
    <w:rsid w:val="000C4E14"/>
    <w:rsid w:val="000C56F2"/>
    <w:rsid w:val="000D0C06"/>
    <w:rsid w:val="000D1250"/>
    <w:rsid w:val="000E221B"/>
    <w:rsid w:val="000E6BF6"/>
    <w:rsid w:val="000F3AE7"/>
    <w:rsid w:val="000F44B6"/>
    <w:rsid w:val="000F48D7"/>
    <w:rsid w:val="000F4C0B"/>
    <w:rsid w:val="000F5B6F"/>
    <w:rsid w:val="000F78F0"/>
    <w:rsid w:val="000F7B42"/>
    <w:rsid w:val="001006BD"/>
    <w:rsid w:val="001006C9"/>
    <w:rsid w:val="00104558"/>
    <w:rsid w:val="001051F9"/>
    <w:rsid w:val="00106789"/>
    <w:rsid w:val="0010774C"/>
    <w:rsid w:val="0011039F"/>
    <w:rsid w:val="00110496"/>
    <w:rsid w:val="00112421"/>
    <w:rsid w:val="001130F5"/>
    <w:rsid w:val="001131FA"/>
    <w:rsid w:val="00117873"/>
    <w:rsid w:val="00117CFB"/>
    <w:rsid w:val="00122225"/>
    <w:rsid w:val="00124C3E"/>
    <w:rsid w:val="00125CEF"/>
    <w:rsid w:val="001273B8"/>
    <w:rsid w:val="00127D9C"/>
    <w:rsid w:val="001301AC"/>
    <w:rsid w:val="001307DA"/>
    <w:rsid w:val="00131339"/>
    <w:rsid w:val="001349D4"/>
    <w:rsid w:val="00136A61"/>
    <w:rsid w:val="00137251"/>
    <w:rsid w:val="001374EF"/>
    <w:rsid w:val="001418B8"/>
    <w:rsid w:val="0014231A"/>
    <w:rsid w:val="00143BD9"/>
    <w:rsid w:val="001442CF"/>
    <w:rsid w:val="001443FC"/>
    <w:rsid w:val="00146828"/>
    <w:rsid w:val="00147806"/>
    <w:rsid w:val="00150E69"/>
    <w:rsid w:val="0016134A"/>
    <w:rsid w:val="00166B2A"/>
    <w:rsid w:val="00173598"/>
    <w:rsid w:val="00180DB2"/>
    <w:rsid w:val="00182383"/>
    <w:rsid w:val="001825DF"/>
    <w:rsid w:val="001874F5"/>
    <w:rsid w:val="001900A7"/>
    <w:rsid w:val="00190CD9"/>
    <w:rsid w:val="00193421"/>
    <w:rsid w:val="0019400F"/>
    <w:rsid w:val="001967C8"/>
    <w:rsid w:val="001970C9"/>
    <w:rsid w:val="001A23F2"/>
    <w:rsid w:val="001A262D"/>
    <w:rsid w:val="001A34F6"/>
    <w:rsid w:val="001A48A2"/>
    <w:rsid w:val="001A5F75"/>
    <w:rsid w:val="001C0737"/>
    <w:rsid w:val="001C2E3C"/>
    <w:rsid w:val="001D5F66"/>
    <w:rsid w:val="001D79F9"/>
    <w:rsid w:val="001D7B69"/>
    <w:rsid w:val="001E4366"/>
    <w:rsid w:val="001F0E2D"/>
    <w:rsid w:val="001F6ED9"/>
    <w:rsid w:val="00200615"/>
    <w:rsid w:val="00200B40"/>
    <w:rsid w:val="00201946"/>
    <w:rsid w:val="0020302C"/>
    <w:rsid w:val="00204892"/>
    <w:rsid w:val="00205702"/>
    <w:rsid w:val="00211B31"/>
    <w:rsid w:val="002155FB"/>
    <w:rsid w:val="00223B8C"/>
    <w:rsid w:val="00227825"/>
    <w:rsid w:val="0023051A"/>
    <w:rsid w:val="002308B6"/>
    <w:rsid w:val="00230C4F"/>
    <w:rsid w:val="00230F57"/>
    <w:rsid w:val="002322B9"/>
    <w:rsid w:val="002323B2"/>
    <w:rsid w:val="00232A7C"/>
    <w:rsid w:val="0023454A"/>
    <w:rsid w:val="00235D74"/>
    <w:rsid w:val="00237AF6"/>
    <w:rsid w:val="00242BD5"/>
    <w:rsid w:val="0024481B"/>
    <w:rsid w:val="00256E30"/>
    <w:rsid w:val="00261E3A"/>
    <w:rsid w:val="00264400"/>
    <w:rsid w:val="00266627"/>
    <w:rsid w:val="002719A9"/>
    <w:rsid w:val="002719C9"/>
    <w:rsid w:val="00274347"/>
    <w:rsid w:val="00274BCB"/>
    <w:rsid w:val="0027645A"/>
    <w:rsid w:val="00276864"/>
    <w:rsid w:val="00276FA1"/>
    <w:rsid w:val="002775CB"/>
    <w:rsid w:val="00281CC2"/>
    <w:rsid w:val="00285E19"/>
    <w:rsid w:val="00286547"/>
    <w:rsid w:val="0029016E"/>
    <w:rsid w:val="0029326D"/>
    <w:rsid w:val="00297831"/>
    <w:rsid w:val="00297E2E"/>
    <w:rsid w:val="002A04A6"/>
    <w:rsid w:val="002A17B8"/>
    <w:rsid w:val="002A3A08"/>
    <w:rsid w:val="002A55DE"/>
    <w:rsid w:val="002B1352"/>
    <w:rsid w:val="002B6C00"/>
    <w:rsid w:val="002B6EB3"/>
    <w:rsid w:val="002C0DE9"/>
    <w:rsid w:val="002C0F49"/>
    <w:rsid w:val="002C1A78"/>
    <w:rsid w:val="002C57F8"/>
    <w:rsid w:val="002D1435"/>
    <w:rsid w:val="002D3E5F"/>
    <w:rsid w:val="002E1811"/>
    <w:rsid w:val="002E1BD4"/>
    <w:rsid w:val="002E272B"/>
    <w:rsid w:val="002E32F6"/>
    <w:rsid w:val="002E42A2"/>
    <w:rsid w:val="002F4694"/>
    <w:rsid w:val="002F5233"/>
    <w:rsid w:val="002F588E"/>
    <w:rsid w:val="002F6099"/>
    <w:rsid w:val="00300636"/>
    <w:rsid w:val="00301FB9"/>
    <w:rsid w:val="00302783"/>
    <w:rsid w:val="00304D56"/>
    <w:rsid w:val="0030613E"/>
    <w:rsid w:val="0030636C"/>
    <w:rsid w:val="00307C27"/>
    <w:rsid w:val="003106DD"/>
    <w:rsid w:val="003108F3"/>
    <w:rsid w:val="003139C5"/>
    <w:rsid w:val="0031404B"/>
    <w:rsid w:val="00314443"/>
    <w:rsid w:val="00314A67"/>
    <w:rsid w:val="0031653F"/>
    <w:rsid w:val="00316570"/>
    <w:rsid w:val="00317E1A"/>
    <w:rsid w:val="00323D3E"/>
    <w:rsid w:val="003247CD"/>
    <w:rsid w:val="00324861"/>
    <w:rsid w:val="00336C34"/>
    <w:rsid w:val="003377BA"/>
    <w:rsid w:val="00341B5E"/>
    <w:rsid w:val="00346C34"/>
    <w:rsid w:val="00353463"/>
    <w:rsid w:val="00354320"/>
    <w:rsid w:val="003572F0"/>
    <w:rsid w:val="00361CA6"/>
    <w:rsid w:val="003635AF"/>
    <w:rsid w:val="00365470"/>
    <w:rsid w:val="00371276"/>
    <w:rsid w:val="00373809"/>
    <w:rsid w:val="003763F6"/>
    <w:rsid w:val="003778CF"/>
    <w:rsid w:val="00382DA7"/>
    <w:rsid w:val="003832B2"/>
    <w:rsid w:val="00384E9F"/>
    <w:rsid w:val="00385A1A"/>
    <w:rsid w:val="003879C3"/>
    <w:rsid w:val="00387A52"/>
    <w:rsid w:val="00387F1E"/>
    <w:rsid w:val="003906A2"/>
    <w:rsid w:val="00393396"/>
    <w:rsid w:val="003938AB"/>
    <w:rsid w:val="003A3120"/>
    <w:rsid w:val="003A5E19"/>
    <w:rsid w:val="003A7122"/>
    <w:rsid w:val="003B3901"/>
    <w:rsid w:val="003B4655"/>
    <w:rsid w:val="003C08E3"/>
    <w:rsid w:val="003C44D7"/>
    <w:rsid w:val="003C5C0F"/>
    <w:rsid w:val="003D4F5D"/>
    <w:rsid w:val="003D5DBE"/>
    <w:rsid w:val="003D796A"/>
    <w:rsid w:val="003E1CF3"/>
    <w:rsid w:val="003E2915"/>
    <w:rsid w:val="003E49DD"/>
    <w:rsid w:val="003E4B1C"/>
    <w:rsid w:val="003F1183"/>
    <w:rsid w:val="003F4470"/>
    <w:rsid w:val="003F44AF"/>
    <w:rsid w:val="003F64AB"/>
    <w:rsid w:val="004023AC"/>
    <w:rsid w:val="00407719"/>
    <w:rsid w:val="00410DE6"/>
    <w:rsid w:val="00413FDE"/>
    <w:rsid w:val="00416CD2"/>
    <w:rsid w:val="004216A5"/>
    <w:rsid w:val="004255D5"/>
    <w:rsid w:val="00425B80"/>
    <w:rsid w:val="00425CB7"/>
    <w:rsid w:val="0042630B"/>
    <w:rsid w:val="004303A5"/>
    <w:rsid w:val="004304A4"/>
    <w:rsid w:val="004319CB"/>
    <w:rsid w:val="00433B80"/>
    <w:rsid w:val="00441DB5"/>
    <w:rsid w:val="00442AA6"/>
    <w:rsid w:val="00446370"/>
    <w:rsid w:val="00447DCF"/>
    <w:rsid w:val="00452E17"/>
    <w:rsid w:val="00455808"/>
    <w:rsid w:val="004608A3"/>
    <w:rsid w:val="00460A94"/>
    <w:rsid w:val="00461354"/>
    <w:rsid w:val="0046345A"/>
    <w:rsid w:val="004638FD"/>
    <w:rsid w:val="0046780C"/>
    <w:rsid w:val="0047580F"/>
    <w:rsid w:val="00477CD2"/>
    <w:rsid w:val="0048401F"/>
    <w:rsid w:val="004840A9"/>
    <w:rsid w:val="0048519E"/>
    <w:rsid w:val="004907AE"/>
    <w:rsid w:val="004911C3"/>
    <w:rsid w:val="004931D9"/>
    <w:rsid w:val="0049546F"/>
    <w:rsid w:val="004962AA"/>
    <w:rsid w:val="00497113"/>
    <w:rsid w:val="004A3CF6"/>
    <w:rsid w:val="004A47ED"/>
    <w:rsid w:val="004A5549"/>
    <w:rsid w:val="004B47FA"/>
    <w:rsid w:val="004C2318"/>
    <w:rsid w:val="004C43B7"/>
    <w:rsid w:val="004C63C3"/>
    <w:rsid w:val="004C6D10"/>
    <w:rsid w:val="004C7EFD"/>
    <w:rsid w:val="004D2684"/>
    <w:rsid w:val="004D66E6"/>
    <w:rsid w:val="004D7FEE"/>
    <w:rsid w:val="004E7748"/>
    <w:rsid w:val="004F06CF"/>
    <w:rsid w:val="004F1054"/>
    <w:rsid w:val="004F1074"/>
    <w:rsid w:val="004F11DF"/>
    <w:rsid w:val="004F1227"/>
    <w:rsid w:val="004F1E6C"/>
    <w:rsid w:val="004F55D6"/>
    <w:rsid w:val="00501F80"/>
    <w:rsid w:val="005050E3"/>
    <w:rsid w:val="00506CE3"/>
    <w:rsid w:val="00514E47"/>
    <w:rsid w:val="00517415"/>
    <w:rsid w:val="00521BC9"/>
    <w:rsid w:val="00524643"/>
    <w:rsid w:val="00524A57"/>
    <w:rsid w:val="00525CF8"/>
    <w:rsid w:val="0052710A"/>
    <w:rsid w:val="005273BC"/>
    <w:rsid w:val="00537A58"/>
    <w:rsid w:val="0054103E"/>
    <w:rsid w:val="00543874"/>
    <w:rsid w:val="005456C5"/>
    <w:rsid w:val="00556191"/>
    <w:rsid w:val="00556CC0"/>
    <w:rsid w:val="00557876"/>
    <w:rsid w:val="00557AAD"/>
    <w:rsid w:val="00561AAE"/>
    <w:rsid w:val="00562B14"/>
    <w:rsid w:val="00563B8E"/>
    <w:rsid w:val="0057024E"/>
    <w:rsid w:val="00571E43"/>
    <w:rsid w:val="00574B75"/>
    <w:rsid w:val="00576639"/>
    <w:rsid w:val="0058248E"/>
    <w:rsid w:val="005833E5"/>
    <w:rsid w:val="005911C1"/>
    <w:rsid w:val="00594833"/>
    <w:rsid w:val="00594F3A"/>
    <w:rsid w:val="00595ED5"/>
    <w:rsid w:val="00595F34"/>
    <w:rsid w:val="005A70C1"/>
    <w:rsid w:val="005B0AB8"/>
    <w:rsid w:val="005B0FA2"/>
    <w:rsid w:val="005B1638"/>
    <w:rsid w:val="005B28F5"/>
    <w:rsid w:val="005B580F"/>
    <w:rsid w:val="005B5EF5"/>
    <w:rsid w:val="005C0BD3"/>
    <w:rsid w:val="005C126F"/>
    <w:rsid w:val="005D2D24"/>
    <w:rsid w:val="005E232B"/>
    <w:rsid w:val="005E4013"/>
    <w:rsid w:val="005E407A"/>
    <w:rsid w:val="005E61EB"/>
    <w:rsid w:val="005E6812"/>
    <w:rsid w:val="005F0284"/>
    <w:rsid w:val="005F2466"/>
    <w:rsid w:val="005F2CF0"/>
    <w:rsid w:val="005F555F"/>
    <w:rsid w:val="005F5B4E"/>
    <w:rsid w:val="00600603"/>
    <w:rsid w:val="00605D0F"/>
    <w:rsid w:val="00605DD7"/>
    <w:rsid w:val="00607C07"/>
    <w:rsid w:val="00612E93"/>
    <w:rsid w:val="00615919"/>
    <w:rsid w:val="006163D3"/>
    <w:rsid w:val="00616AF3"/>
    <w:rsid w:val="00616C52"/>
    <w:rsid w:val="00620638"/>
    <w:rsid w:val="00621912"/>
    <w:rsid w:val="00632D9B"/>
    <w:rsid w:val="0063362D"/>
    <w:rsid w:val="00633E2D"/>
    <w:rsid w:val="006355BC"/>
    <w:rsid w:val="0063619F"/>
    <w:rsid w:val="0063647E"/>
    <w:rsid w:val="00640FA6"/>
    <w:rsid w:val="006436C0"/>
    <w:rsid w:val="00643A36"/>
    <w:rsid w:val="00644505"/>
    <w:rsid w:val="00645B4F"/>
    <w:rsid w:val="00646677"/>
    <w:rsid w:val="0065352F"/>
    <w:rsid w:val="00653799"/>
    <w:rsid w:val="00656447"/>
    <w:rsid w:val="00657CEA"/>
    <w:rsid w:val="0066149B"/>
    <w:rsid w:val="00666384"/>
    <w:rsid w:val="00671C7F"/>
    <w:rsid w:val="006727C8"/>
    <w:rsid w:val="00672B11"/>
    <w:rsid w:val="00677A80"/>
    <w:rsid w:val="00680392"/>
    <w:rsid w:val="00684976"/>
    <w:rsid w:val="006867AE"/>
    <w:rsid w:val="00686A2E"/>
    <w:rsid w:val="0069192B"/>
    <w:rsid w:val="00691F4F"/>
    <w:rsid w:val="00697BF5"/>
    <w:rsid w:val="006A0901"/>
    <w:rsid w:val="006A123D"/>
    <w:rsid w:val="006A3F92"/>
    <w:rsid w:val="006A43DD"/>
    <w:rsid w:val="006A4A00"/>
    <w:rsid w:val="006A4EF0"/>
    <w:rsid w:val="006A714A"/>
    <w:rsid w:val="006B10BC"/>
    <w:rsid w:val="006B312C"/>
    <w:rsid w:val="006B3830"/>
    <w:rsid w:val="006B4E51"/>
    <w:rsid w:val="006B639B"/>
    <w:rsid w:val="006B75A1"/>
    <w:rsid w:val="006C3D1E"/>
    <w:rsid w:val="006D227C"/>
    <w:rsid w:val="006D284F"/>
    <w:rsid w:val="006D2A05"/>
    <w:rsid w:val="006D2D44"/>
    <w:rsid w:val="006D69DD"/>
    <w:rsid w:val="006D71EF"/>
    <w:rsid w:val="006E23DB"/>
    <w:rsid w:val="006E49F8"/>
    <w:rsid w:val="006F7B43"/>
    <w:rsid w:val="007037CC"/>
    <w:rsid w:val="00705B69"/>
    <w:rsid w:val="00706594"/>
    <w:rsid w:val="00711EC5"/>
    <w:rsid w:val="007126EF"/>
    <w:rsid w:val="007164C0"/>
    <w:rsid w:val="00716AFC"/>
    <w:rsid w:val="00717889"/>
    <w:rsid w:val="00717F55"/>
    <w:rsid w:val="00721D17"/>
    <w:rsid w:val="007272D5"/>
    <w:rsid w:val="00740F08"/>
    <w:rsid w:val="00745072"/>
    <w:rsid w:val="00747C24"/>
    <w:rsid w:val="00752F99"/>
    <w:rsid w:val="007536D9"/>
    <w:rsid w:val="007539A5"/>
    <w:rsid w:val="00755B5B"/>
    <w:rsid w:val="00755C72"/>
    <w:rsid w:val="00756EBF"/>
    <w:rsid w:val="007667B4"/>
    <w:rsid w:val="00767F95"/>
    <w:rsid w:val="0077393B"/>
    <w:rsid w:val="00774708"/>
    <w:rsid w:val="00776590"/>
    <w:rsid w:val="00792E86"/>
    <w:rsid w:val="00793B38"/>
    <w:rsid w:val="00793C67"/>
    <w:rsid w:val="00793D18"/>
    <w:rsid w:val="00796A0D"/>
    <w:rsid w:val="007A4D98"/>
    <w:rsid w:val="007A5BBF"/>
    <w:rsid w:val="007A76BA"/>
    <w:rsid w:val="007A79B5"/>
    <w:rsid w:val="007B0C07"/>
    <w:rsid w:val="007B23ED"/>
    <w:rsid w:val="007B3B9E"/>
    <w:rsid w:val="007B7BD2"/>
    <w:rsid w:val="007C3395"/>
    <w:rsid w:val="007D0312"/>
    <w:rsid w:val="007D1C9B"/>
    <w:rsid w:val="007D2CDD"/>
    <w:rsid w:val="007D334E"/>
    <w:rsid w:val="007D3535"/>
    <w:rsid w:val="007E51D8"/>
    <w:rsid w:val="007E5A88"/>
    <w:rsid w:val="007E7E0A"/>
    <w:rsid w:val="007F38C4"/>
    <w:rsid w:val="007F5B1C"/>
    <w:rsid w:val="008017FF"/>
    <w:rsid w:val="008018D4"/>
    <w:rsid w:val="00803D9E"/>
    <w:rsid w:val="008072B5"/>
    <w:rsid w:val="008158DC"/>
    <w:rsid w:val="00821345"/>
    <w:rsid w:val="00822DAB"/>
    <w:rsid w:val="008240B8"/>
    <w:rsid w:val="00830D58"/>
    <w:rsid w:val="00831023"/>
    <w:rsid w:val="00834041"/>
    <w:rsid w:val="008340A9"/>
    <w:rsid w:val="00834F03"/>
    <w:rsid w:val="00835AC9"/>
    <w:rsid w:val="00837B0A"/>
    <w:rsid w:val="00843A02"/>
    <w:rsid w:val="008441E5"/>
    <w:rsid w:val="0084520C"/>
    <w:rsid w:val="008473DC"/>
    <w:rsid w:val="00852619"/>
    <w:rsid w:val="00855FD9"/>
    <w:rsid w:val="008571C2"/>
    <w:rsid w:val="00857391"/>
    <w:rsid w:val="008573CA"/>
    <w:rsid w:val="00860583"/>
    <w:rsid w:val="008616B2"/>
    <w:rsid w:val="008635A9"/>
    <w:rsid w:val="00863A57"/>
    <w:rsid w:val="0086465B"/>
    <w:rsid w:val="008700BC"/>
    <w:rsid w:val="00872B13"/>
    <w:rsid w:val="00875A18"/>
    <w:rsid w:val="00881AEE"/>
    <w:rsid w:val="008830FA"/>
    <w:rsid w:val="00886B0D"/>
    <w:rsid w:val="0089122F"/>
    <w:rsid w:val="0089173B"/>
    <w:rsid w:val="0089292B"/>
    <w:rsid w:val="008969A1"/>
    <w:rsid w:val="008A0379"/>
    <w:rsid w:val="008A0663"/>
    <w:rsid w:val="008A072B"/>
    <w:rsid w:val="008A1018"/>
    <w:rsid w:val="008A1DF5"/>
    <w:rsid w:val="008A218F"/>
    <w:rsid w:val="008A3B73"/>
    <w:rsid w:val="008A42E5"/>
    <w:rsid w:val="008A51DF"/>
    <w:rsid w:val="008A7ADA"/>
    <w:rsid w:val="008B0A3F"/>
    <w:rsid w:val="008B11A4"/>
    <w:rsid w:val="008B3062"/>
    <w:rsid w:val="008B3CB6"/>
    <w:rsid w:val="008B50AB"/>
    <w:rsid w:val="008C43E1"/>
    <w:rsid w:val="008C72FF"/>
    <w:rsid w:val="008C7757"/>
    <w:rsid w:val="008D00A5"/>
    <w:rsid w:val="008D055E"/>
    <w:rsid w:val="008D3F0F"/>
    <w:rsid w:val="008D5EF5"/>
    <w:rsid w:val="008E374A"/>
    <w:rsid w:val="008E3C82"/>
    <w:rsid w:val="008E50F4"/>
    <w:rsid w:val="008F0171"/>
    <w:rsid w:val="008F1721"/>
    <w:rsid w:val="008F3899"/>
    <w:rsid w:val="008F5592"/>
    <w:rsid w:val="008F7380"/>
    <w:rsid w:val="008F7689"/>
    <w:rsid w:val="0090010C"/>
    <w:rsid w:val="00906A67"/>
    <w:rsid w:val="00910508"/>
    <w:rsid w:val="009113B9"/>
    <w:rsid w:val="00914E57"/>
    <w:rsid w:val="00915890"/>
    <w:rsid w:val="00915BE1"/>
    <w:rsid w:val="00915E7A"/>
    <w:rsid w:val="00917796"/>
    <w:rsid w:val="00923B42"/>
    <w:rsid w:val="0092400E"/>
    <w:rsid w:val="009271B7"/>
    <w:rsid w:val="00941903"/>
    <w:rsid w:val="00942817"/>
    <w:rsid w:val="009429A0"/>
    <w:rsid w:val="0094598B"/>
    <w:rsid w:val="00947109"/>
    <w:rsid w:val="00950A18"/>
    <w:rsid w:val="00954D8D"/>
    <w:rsid w:val="00955D78"/>
    <w:rsid w:val="00956473"/>
    <w:rsid w:val="00956984"/>
    <w:rsid w:val="009604D7"/>
    <w:rsid w:val="009608E0"/>
    <w:rsid w:val="00960EF6"/>
    <w:rsid w:val="00961747"/>
    <w:rsid w:val="0096184C"/>
    <w:rsid w:val="00963E2E"/>
    <w:rsid w:val="009656F6"/>
    <w:rsid w:val="00966EF9"/>
    <w:rsid w:val="0096763F"/>
    <w:rsid w:val="00970951"/>
    <w:rsid w:val="00970C05"/>
    <w:rsid w:val="00971D21"/>
    <w:rsid w:val="00980AA8"/>
    <w:rsid w:val="00981EDC"/>
    <w:rsid w:val="00982D63"/>
    <w:rsid w:val="00984FF1"/>
    <w:rsid w:val="0098740C"/>
    <w:rsid w:val="009919C9"/>
    <w:rsid w:val="0099277E"/>
    <w:rsid w:val="009A348A"/>
    <w:rsid w:val="009A79B6"/>
    <w:rsid w:val="009B2367"/>
    <w:rsid w:val="009B2A94"/>
    <w:rsid w:val="009B3EC7"/>
    <w:rsid w:val="009B5B79"/>
    <w:rsid w:val="009C2E47"/>
    <w:rsid w:val="009D4C3D"/>
    <w:rsid w:val="009E2DB3"/>
    <w:rsid w:val="009E33DF"/>
    <w:rsid w:val="009E3509"/>
    <w:rsid w:val="009E40ED"/>
    <w:rsid w:val="009E6A02"/>
    <w:rsid w:val="009F17F0"/>
    <w:rsid w:val="00A00BA3"/>
    <w:rsid w:val="00A00DA8"/>
    <w:rsid w:val="00A011DF"/>
    <w:rsid w:val="00A02681"/>
    <w:rsid w:val="00A04CF0"/>
    <w:rsid w:val="00A0587C"/>
    <w:rsid w:val="00A10CA6"/>
    <w:rsid w:val="00A1237F"/>
    <w:rsid w:val="00A21790"/>
    <w:rsid w:val="00A2218E"/>
    <w:rsid w:val="00A2280D"/>
    <w:rsid w:val="00A26CE7"/>
    <w:rsid w:val="00A27B18"/>
    <w:rsid w:val="00A306E2"/>
    <w:rsid w:val="00A334DC"/>
    <w:rsid w:val="00A33E37"/>
    <w:rsid w:val="00A425C9"/>
    <w:rsid w:val="00A434C2"/>
    <w:rsid w:val="00A44865"/>
    <w:rsid w:val="00A5048F"/>
    <w:rsid w:val="00A50DE6"/>
    <w:rsid w:val="00A510A2"/>
    <w:rsid w:val="00A6251B"/>
    <w:rsid w:val="00A64925"/>
    <w:rsid w:val="00A64D5D"/>
    <w:rsid w:val="00A65E06"/>
    <w:rsid w:val="00A754A2"/>
    <w:rsid w:val="00A802FE"/>
    <w:rsid w:val="00A8610F"/>
    <w:rsid w:val="00A86625"/>
    <w:rsid w:val="00A867F6"/>
    <w:rsid w:val="00A86B4D"/>
    <w:rsid w:val="00A8763E"/>
    <w:rsid w:val="00A87689"/>
    <w:rsid w:val="00A94750"/>
    <w:rsid w:val="00A95AD3"/>
    <w:rsid w:val="00AA1073"/>
    <w:rsid w:val="00AC005A"/>
    <w:rsid w:val="00AC2755"/>
    <w:rsid w:val="00AC4617"/>
    <w:rsid w:val="00AC71DA"/>
    <w:rsid w:val="00AD162B"/>
    <w:rsid w:val="00AD2441"/>
    <w:rsid w:val="00AD6C2B"/>
    <w:rsid w:val="00AE3ED0"/>
    <w:rsid w:val="00AE533A"/>
    <w:rsid w:val="00AF20CE"/>
    <w:rsid w:val="00AF41F3"/>
    <w:rsid w:val="00AF4ED3"/>
    <w:rsid w:val="00AF51C0"/>
    <w:rsid w:val="00B00B5A"/>
    <w:rsid w:val="00B0501C"/>
    <w:rsid w:val="00B07131"/>
    <w:rsid w:val="00B16C8D"/>
    <w:rsid w:val="00B249E0"/>
    <w:rsid w:val="00B26A49"/>
    <w:rsid w:val="00B33BEB"/>
    <w:rsid w:val="00B33D5D"/>
    <w:rsid w:val="00B34354"/>
    <w:rsid w:val="00B356C9"/>
    <w:rsid w:val="00B3651F"/>
    <w:rsid w:val="00B40C0C"/>
    <w:rsid w:val="00B4266B"/>
    <w:rsid w:val="00B434BC"/>
    <w:rsid w:val="00B46A7C"/>
    <w:rsid w:val="00B516EE"/>
    <w:rsid w:val="00B52FD3"/>
    <w:rsid w:val="00B53663"/>
    <w:rsid w:val="00B542A7"/>
    <w:rsid w:val="00B60B65"/>
    <w:rsid w:val="00B618BC"/>
    <w:rsid w:val="00B62B45"/>
    <w:rsid w:val="00B65B5A"/>
    <w:rsid w:val="00B67DED"/>
    <w:rsid w:val="00B704E7"/>
    <w:rsid w:val="00B748E5"/>
    <w:rsid w:val="00B83BFD"/>
    <w:rsid w:val="00B84300"/>
    <w:rsid w:val="00B86C5D"/>
    <w:rsid w:val="00B93362"/>
    <w:rsid w:val="00B93451"/>
    <w:rsid w:val="00B96997"/>
    <w:rsid w:val="00BA2FB8"/>
    <w:rsid w:val="00BA4DE5"/>
    <w:rsid w:val="00BA4FE2"/>
    <w:rsid w:val="00BA6439"/>
    <w:rsid w:val="00BA6916"/>
    <w:rsid w:val="00BB14DC"/>
    <w:rsid w:val="00BB2760"/>
    <w:rsid w:val="00BB36EE"/>
    <w:rsid w:val="00BB399C"/>
    <w:rsid w:val="00BB42B7"/>
    <w:rsid w:val="00BB498D"/>
    <w:rsid w:val="00BB7220"/>
    <w:rsid w:val="00BC0702"/>
    <w:rsid w:val="00BC1E57"/>
    <w:rsid w:val="00BC2A38"/>
    <w:rsid w:val="00BC2E33"/>
    <w:rsid w:val="00BC2FE4"/>
    <w:rsid w:val="00BD165C"/>
    <w:rsid w:val="00BD2562"/>
    <w:rsid w:val="00BD72E0"/>
    <w:rsid w:val="00BE1EAE"/>
    <w:rsid w:val="00BE627B"/>
    <w:rsid w:val="00BF11E7"/>
    <w:rsid w:val="00BF4D16"/>
    <w:rsid w:val="00BF4EB6"/>
    <w:rsid w:val="00BF709D"/>
    <w:rsid w:val="00C026AC"/>
    <w:rsid w:val="00C0355F"/>
    <w:rsid w:val="00C040D2"/>
    <w:rsid w:val="00C062CA"/>
    <w:rsid w:val="00C06DC5"/>
    <w:rsid w:val="00C157DD"/>
    <w:rsid w:val="00C17C9A"/>
    <w:rsid w:val="00C2160E"/>
    <w:rsid w:val="00C21988"/>
    <w:rsid w:val="00C24ED0"/>
    <w:rsid w:val="00C25872"/>
    <w:rsid w:val="00C25CA3"/>
    <w:rsid w:val="00C26F98"/>
    <w:rsid w:val="00C27068"/>
    <w:rsid w:val="00C30A02"/>
    <w:rsid w:val="00C33DAA"/>
    <w:rsid w:val="00C35AA7"/>
    <w:rsid w:val="00C36464"/>
    <w:rsid w:val="00C37383"/>
    <w:rsid w:val="00C4048C"/>
    <w:rsid w:val="00C44665"/>
    <w:rsid w:val="00C456EB"/>
    <w:rsid w:val="00C46DAD"/>
    <w:rsid w:val="00C51BF6"/>
    <w:rsid w:val="00C52F8A"/>
    <w:rsid w:val="00C5423C"/>
    <w:rsid w:val="00C5703E"/>
    <w:rsid w:val="00C57EDC"/>
    <w:rsid w:val="00C615DB"/>
    <w:rsid w:val="00C650CD"/>
    <w:rsid w:val="00C675DC"/>
    <w:rsid w:val="00C75C2E"/>
    <w:rsid w:val="00C772FA"/>
    <w:rsid w:val="00C86E52"/>
    <w:rsid w:val="00C92C65"/>
    <w:rsid w:val="00C96D6F"/>
    <w:rsid w:val="00C97C97"/>
    <w:rsid w:val="00CA2511"/>
    <w:rsid w:val="00CA40D6"/>
    <w:rsid w:val="00CA6FF1"/>
    <w:rsid w:val="00CB2C08"/>
    <w:rsid w:val="00CB31F0"/>
    <w:rsid w:val="00CB5314"/>
    <w:rsid w:val="00CB7168"/>
    <w:rsid w:val="00CB7EAD"/>
    <w:rsid w:val="00CC1FEE"/>
    <w:rsid w:val="00CC63DE"/>
    <w:rsid w:val="00CC6916"/>
    <w:rsid w:val="00CC7BF6"/>
    <w:rsid w:val="00CC7D26"/>
    <w:rsid w:val="00CD0F37"/>
    <w:rsid w:val="00CD3158"/>
    <w:rsid w:val="00CD4B42"/>
    <w:rsid w:val="00CD50D3"/>
    <w:rsid w:val="00CD6FF0"/>
    <w:rsid w:val="00CD7E6E"/>
    <w:rsid w:val="00CE026B"/>
    <w:rsid w:val="00CE0F39"/>
    <w:rsid w:val="00CE0F5E"/>
    <w:rsid w:val="00CE208B"/>
    <w:rsid w:val="00CE24E1"/>
    <w:rsid w:val="00CE30D5"/>
    <w:rsid w:val="00CE6132"/>
    <w:rsid w:val="00CF17FA"/>
    <w:rsid w:val="00CF3280"/>
    <w:rsid w:val="00CF42BB"/>
    <w:rsid w:val="00CF5842"/>
    <w:rsid w:val="00CF6D71"/>
    <w:rsid w:val="00CF7150"/>
    <w:rsid w:val="00D00FDB"/>
    <w:rsid w:val="00D102DD"/>
    <w:rsid w:val="00D121DD"/>
    <w:rsid w:val="00D15DF8"/>
    <w:rsid w:val="00D20E34"/>
    <w:rsid w:val="00D23DD4"/>
    <w:rsid w:val="00D25E79"/>
    <w:rsid w:val="00D26758"/>
    <w:rsid w:val="00D27362"/>
    <w:rsid w:val="00D30998"/>
    <w:rsid w:val="00D30EDF"/>
    <w:rsid w:val="00D33655"/>
    <w:rsid w:val="00D34A5F"/>
    <w:rsid w:val="00D3667D"/>
    <w:rsid w:val="00D43D0B"/>
    <w:rsid w:val="00D46EE6"/>
    <w:rsid w:val="00D47DB3"/>
    <w:rsid w:val="00D5144A"/>
    <w:rsid w:val="00D52694"/>
    <w:rsid w:val="00D633AB"/>
    <w:rsid w:val="00D63C2B"/>
    <w:rsid w:val="00D63FC5"/>
    <w:rsid w:val="00D64421"/>
    <w:rsid w:val="00D66889"/>
    <w:rsid w:val="00D66DA5"/>
    <w:rsid w:val="00D67AC4"/>
    <w:rsid w:val="00D7014F"/>
    <w:rsid w:val="00D72E7F"/>
    <w:rsid w:val="00D73D6D"/>
    <w:rsid w:val="00D74922"/>
    <w:rsid w:val="00D752A7"/>
    <w:rsid w:val="00D76670"/>
    <w:rsid w:val="00D82AC2"/>
    <w:rsid w:val="00D83BE6"/>
    <w:rsid w:val="00D87EE4"/>
    <w:rsid w:val="00D90300"/>
    <w:rsid w:val="00D939CD"/>
    <w:rsid w:val="00D95433"/>
    <w:rsid w:val="00DA1A58"/>
    <w:rsid w:val="00DA2714"/>
    <w:rsid w:val="00DA2E45"/>
    <w:rsid w:val="00DA3610"/>
    <w:rsid w:val="00DA41E5"/>
    <w:rsid w:val="00DB1446"/>
    <w:rsid w:val="00DB2562"/>
    <w:rsid w:val="00DB2821"/>
    <w:rsid w:val="00DB4CBC"/>
    <w:rsid w:val="00DB6096"/>
    <w:rsid w:val="00DC01E2"/>
    <w:rsid w:val="00DC3ADE"/>
    <w:rsid w:val="00DC624E"/>
    <w:rsid w:val="00DC7EC2"/>
    <w:rsid w:val="00DD001A"/>
    <w:rsid w:val="00DD02EB"/>
    <w:rsid w:val="00DD03EA"/>
    <w:rsid w:val="00DD1887"/>
    <w:rsid w:val="00DD205B"/>
    <w:rsid w:val="00DD3C21"/>
    <w:rsid w:val="00DD734C"/>
    <w:rsid w:val="00DD7C76"/>
    <w:rsid w:val="00DF0DD2"/>
    <w:rsid w:val="00DF21A8"/>
    <w:rsid w:val="00DF2A19"/>
    <w:rsid w:val="00DF30C1"/>
    <w:rsid w:val="00DF536F"/>
    <w:rsid w:val="00DF7857"/>
    <w:rsid w:val="00E01215"/>
    <w:rsid w:val="00E0318C"/>
    <w:rsid w:val="00E04A27"/>
    <w:rsid w:val="00E06633"/>
    <w:rsid w:val="00E10966"/>
    <w:rsid w:val="00E11149"/>
    <w:rsid w:val="00E12320"/>
    <w:rsid w:val="00E13A9B"/>
    <w:rsid w:val="00E13D53"/>
    <w:rsid w:val="00E15E9F"/>
    <w:rsid w:val="00E16B41"/>
    <w:rsid w:val="00E2371D"/>
    <w:rsid w:val="00E2531F"/>
    <w:rsid w:val="00E274B2"/>
    <w:rsid w:val="00E319B1"/>
    <w:rsid w:val="00E347BD"/>
    <w:rsid w:val="00E416D0"/>
    <w:rsid w:val="00E45A7E"/>
    <w:rsid w:val="00E46FED"/>
    <w:rsid w:val="00E512EC"/>
    <w:rsid w:val="00E53D6A"/>
    <w:rsid w:val="00E544C6"/>
    <w:rsid w:val="00E54ACF"/>
    <w:rsid w:val="00E64823"/>
    <w:rsid w:val="00E665C0"/>
    <w:rsid w:val="00E670B4"/>
    <w:rsid w:val="00E671CE"/>
    <w:rsid w:val="00E709F5"/>
    <w:rsid w:val="00E71209"/>
    <w:rsid w:val="00E769C1"/>
    <w:rsid w:val="00E77B1B"/>
    <w:rsid w:val="00E80A5E"/>
    <w:rsid w:val="00E80B6B"/>
    <w:rsid w:val="00E8200F"/>
    <w:rsid w:val="00E8390C"/>
    <w:rsid w:val="00E94CEE"/>
    <w:rsid w:val="00E97B5C"/>
    <w:rsid w:val="00EA0ECD"/>
    <w:rsid w:val="00EA0EF7"/>
    <w:rsid w:val="00EA464D"/>
    <w:rsid w:val="00EB0BFA"/>
    <w:rsid w:val="00EB18B9"/>
    <w:rsid w:val="00EB3093"/>
    <w:rsid w:val="00EC0EBF"/>
    <w:rsid w:val="00ED2009"/>
    <w:rsid w:val="00ED5158"/>
    <w:rsid w:val="00EE3AC2"/>
    <w:rsid w:val="00EE4EFA"/>
    <w:rsid w:val="00EF6614"/>
    <w:rsid w:val="00F01178"/>
    <w:rsid w:val="00F05BD2"/>
    <w:rsid w:val="00F07151"/>
    <w:rsid w:val="00F10B71"/>
    <w:rsid w:val="00F1409F"/>
    <w:rsid w:val="00F14891"/>
    <w:rsid w:val="00F164DA"/>
    <w:rsid w:val="00F20CA3"/>
    <w:rsid w:val="00F2155A"/>
    <w:rsid w:val="00F21C97"/>
    <w:rsid w:val="00F235C3"/>
    <w:rsid w:val="00F26625"/>
    <w:rsid w:val="00F274FC"/>
    <w:rsid w:val="00F306E4"/>
    <w:rsid w:val="00F3493C"/>
    <w:rsid w:val="00F357AC"/>
    <w:rsid w:val="00F35C2C"/>
    <w:rsid w:val="00F36CDA"/>
    <w:rsid w:val="00F4188A"/>
    <w:rsid w:val="00F43A46"/>
    <w:rsid w:val="00F47005"/>
    <w:rsid w:val="00F47FFA"/>
    <w:rsid w:val="00F503A8"/>
    <w:rsid w:val="00F506DC"/>
    <w:rsid w:val="00F50EF3"/>
    <w:rsid w:val="00F53AD2"/>
    <w:rsid w:val="00F53EF0"/>
    <w:rsid w:val="00F5736D"/>
    <w:rsid w:val="00F633DB"/>
    <w:rsid w:val="00F63821"/>
    <w:rsid w:val="00F65141"/>
    <w:rsid w:val="00F71C46"/>
    <w:rsid w:val="00F729A3"/>
    <w:rsid w:val="00F73898"/>
    <w:rsid w:val="00F73F84"/>
    <w:rsid w:val="00F75376"/>
    <w:rsid w:val="00F77F0B"/>
    <w:rsid w:val="00F82968"/>
    <w:rsid w:val="00F829FA"/>
    <w:rsid w:val="00F865EA"/>
    <w:rsid w:val="00F86FD9"/>
    <w:rsid w:val="00F90377"/>
    <w:rsid w:val="00F90549"/>
    <w:rsid w:val="00F962F3"/>
    <w:rsid w:val="00FA16F4"/>
    <w:rsid w:val="00FA2CE7"/>
    <w:rsid w:val="00FA6B8A"/>
    <w:rsid w:val="00FB179E"/>
    <w:rsid w:val="00FB3185"/>
    <w:rsid w:val="00FB5DE6"/>
    <w:rsid w:val="00FC0942"/>
    <w:rsid w:val="00FC15EC"/>
    <w:rsid w:val="00FC368C"/>
    <w:rsid w:val="00FD0364"/>
    <w:rsid w:val="00FD4E8E"/>
    <w:rsid w:val="00FD7D28"/>
    <w:rsid w:val="00FE0071"/>
    <w:rsid w:val="00FE4F24"/>
    <w:rsid w:val="00FF0221"/>
    <w:rsid w:val="00FF0E82"/>
    <w:rsid w:val="00FF1921"/>
    <w:rsid w:val="00FF37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6A4EF0"/>
    <w:pPr>
      <w:spacing w:before="80" w:after="120"/>
      <w:jc w:val="both"/>
    </w:pPr>
    <w:rPr>
      <w:rFonts w:asciiTheme="minorHAnsi" w:hAnsiTheme="minorHAnsi"/>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AC4617"/>
    <w:pPr>
      <w:keepNext/>
      <w:keepLines/>
      <w:numPr>
        <w:ilvl w:val="1"/>
        <w:numId w:val="1"/>
      </w:numPr>
      <w:autoSpaceDE w:val="0"/>
      <w:autoSpaceDN w:val="0"/>
      <w:adjustRightInd w:val="0"/>
      <w:spacing w:before="240"/>
      <w:ind w:left="567" w:hanging="567"/>
      <w:outlineLvl w:val="1"/>
    </w:pPr>
    <w:rPr>
      <w:rFonts w:ascii="Segoe UI Semibold" w:eastAsiaTheme="majorEastAsia" w:hAnsi="Segoe UI Semibold" w:cs="Segoe UI"/>
      <w:noProof/>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AC4617"/>
    <w:rPr>
      <w:rFonts w:eastAsiaTheme="majorEastAsia" w:cs="Segoe UI"/>
      <w:noProof/>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6A4EF0"/>
    <w:pPr>
      <w:spacing w:before="60" w:after="360" w:line="240" w:lineRule="auto"/>
      <w:jc w:val="left"/>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qFormat/>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 w:type="character" w:styleId="Zstupntext">
    <w:name w:val="Placeholder Text"/>
    <w:basedOn w:val="Standardnpsmoodstavce"/>
    <w:uiPriority w:val="99"/>
    <w:semiHidden/>
    <w:rsid w:val="005C0B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6A4EF0"/>
    <w:pPr>
      <w:spacing w:before="80" w:after="120"/>
      <w:jc w:val="both"/>
    </w:pPr>
    <w:rPr>
      <w:rFonts w:asciiTheme="minorHAnsi" w:hAnsiTheme="minorHAnsi"/>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AC4617"/>
    <w:pPr>
      <w:keepNext/>
      <w:keepLines/>
      <w:numPr>
        <w:ilvl w:val="1"/>
        <w:numId w:val="1"/>
      </w:numPr>
      <w:autoSpaceDE w:val="0"/>
      <w:autoSpaceDN w:val="0"/>
      <w:adjustRightInd w:val="0"/>
      <w:spacing w:before="240"/>
      <w:ind w:left="567" w:hanging="567"/>
      <w:outlineLvl w:val="1"/>
    </w:pPr>
    <w:rPr>
      <w:rFonts w:ascii="Segoe UI Semibold" w:eastAsiaTheme="majorEastAsia" w:hAnsi="Segoe UI Semibold" w:cs="Segoe UI"/>
      <w:noProof/>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AC4617"/>
    <w:rPr>
      <w:rFonts w:eastAsiaTheme="majorEastAsia" w:cs="Segoe UI"/>
      <w:noProof/>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6A4EF0"/>
    <w:pPr>
      <w:spacing w:before="60" w:after="360" w:line="240" w:lineRule="auto"/>
      <w:jc w:val="left"/>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qFormat/>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 w:type="character" w:styleId="Zstupntext">
    <w:name w:val="Placeholder Text"/>
    <w:basedOn w:val="Standardnpsmoodstavce"/>
    <w:uiPriority w:val="99"/>
    <w:semiHidden/>
    <w:rsid w:val="005C0B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3">
      <w:bodyDiv w:val="1"/>
      <w:marLeft w:val="0"/>
      <w:marRight w:val="0"/>
      <w:marTop w:val="0"/>
      <w:marBottom w:val="0"/>
      <w:divBdr>
        <w:top w:val="none" w:sz="0" w:space="0" w:color="auto"/>
        <w:left w:val="none" w:sz="0" w:space="0" w:color="auto"/>
        <w:bottom w:val="none" w:sz="0" w:space="0" w:color="auto"/>
        <w:right w:val="none" w:sz="0" w:space="0" w:color="auto"/>
      </w:divBdr>
    </w:div>
    <w:div w:id="8215074">
      <w:bodyDiv w:val="1"/>
      <w:marLeft w:val="0"/>
      <w:marRight w:val="0"/>
      <w:marTop w:val="0"/>
      <w:marBottom w:val="0"/>
      <w:divBdr>
        <w:top w:val="none" w:sz="0" w:space="0" w:color="auto"/>
        <w:left w:val="none" w:sz="0" w:space="0" w:color="auto"/>
        <w:bottom w:val="none" w:sz="0" w:space="0" w:color="auto"/>
        <w:right w:val="none" w:sz="0" w:space="0" w:color="auto"/>
      </w:divBdr>
    </w:div>
    <w:div w:id="11033070">
      <w:bodyDiv w:val="1"/>
      <w:marLeft w:val="0"/>
      <w:marRight w:val="0"/>
      <w:marTop w:val="0"/>
      <w:marBottom w:val="0"/>
      <w:divBdr>
        <w:top w:val="none" w:sz="0" w:space="0" w:color="auto"/>
        <w:left w:val="none" w:sz="0" w:space="0" w:color="auto"/>
        <w:bottom w:val="none" w:sz="0" w:space="0" w:color="auto"/>
        <w:right w:val="none" w:sz="0" w:space="0" w:color="auto"/>
      </w:divBdr>
    </w:div>
    <w:div w:id="16007904">
      <w:bodyDiv w:val="1"/>
      <w:marLeft w:val="0"/>
      <w:marRight w:val="0"/>
      <w:marTop w:val="0"/>
      <w:marBottom w:val="0"/>
      <w:divBdr>
        <w:top w:val="none" w:sz="0" w:space="0" w:color="auto"/>
        <w:left w:val="none" w:sz="0" w:space="0" w:color="auto"/>
        <w:bottom w:val="none" w:sz="0" w:space="0" w:color="auto"/>
        <w:right w:val="none" w:sz="0" w:space="0" w:color="auto"/>
      </w:divBdr>
    </w:div>
    <w:div w:id="16081070">
      <w:bodyDiv w:val="1"/>
      <w:marLeft w:val="0"/>
      <w:marRight w:val="0"/>
      <w:marTop w:val="0"/>
      <w:marBottom w:val="0"/>
      <w:divBdr>
        <w:top w:val="none" w:sz="0" w:space="0" w:color="auto"/>
        <w:left w:val="none" w:sz="0" w:space="0" w:color="auto"/>
        <w:bottom w:val="none" w:sz="0" w:space="0" w:color="auto"/>
        <w:right w:val="none" w:sz="0" w:space="0" w:color="auto"/>
      </w:divBdr>
    </w:div>
    <w:div w:id="17658062">
      <w:bodyDiv w:val="1"/>
      <w:marLeft w:val="0"/>
      <w:marRight w:val="0"/>
      <w:marTop w:val="0"/>
      <w:marBottom w:val="0"/>
      <w:divBdr>
        <w:top w:val="none" w:sz="0" w:space="0" w:color="auto"/>
        <w:left w:val="none" w:sz="0" w:space="0" w:color="auto"/>
        <w:bottom w:val="none" w:sz="0" w:space="0" w:color="auto"/>
        <w:right w:val="none" w:sz="0" w:space="0" w:color="auto"/>
      </w:divBdr>
    </w:div>
    <w:div w:id="17895531">
      <w:bodyDiv w:val="1"/>
      <w:marLeft w:val="0"/>
      <w:marRight w:val="0"/>
      <w:marTop w:val="0"/>
      <w:marBottom w:val="0"/>
      <w:divBdr>
        <w:top w:val="none" w:sz="0" w:space="0" w:color="auto"/>
        <w:left w:val="none" w:sz="0" w:space="0" w:color="auto"/>
        <w:bottom w:val="none" w:sz="0" w:space="0" w:color="auto"/>
        <w:right w:val="none" w:sz="0" w:space="0" w:color="auto"/>
      </w:divBdr>
    </w:div>
    <w:div w:id="32509939">
      <w:bodyDiv w:val="1"/>
      <w:marLeft w:val="0"/>
      <w:marRight w:val="0"/>
      <w:marTop w:val="0"/>
      <w:marBottom w:val="0"/>
      <w:divBdr>
        <w:top w:val="none" w:sz="0" w:space="0" w:color="auto"/>
        <w:left w:val="none" w:sz="0" w:space="0" w:color="auto"/>
        <w:bottom w:val="none" w:sz="0" w:space="0" w:color="auto"/>
        <w:right w:val="none" w:sz="0" w:space="0" w:color="auto"/>
      </w:divBdr>
    </w:div>
    <w:div w:id="42487980">
      <w:bodyDiv w:val="1"/>
      <w:marLeft w:val="0"/>
      <w:marRight w:val="0"/>
      <w:marTop w:val="0"/>
      <w:marBottom w:val="0"/>
      <w:divBdr>
        <w:top w:val="none" w:sz="0" w:space="0" w:color="auto"/>
        <w:left w:val="none" w:sz="0" w:space="0" w:color="auto"/>
        <w:bottom w:val="none" w:sz="0" w:space="0" w:color="auto"/>
        <w:right w:val="none" w:sz="0" w:space="0" w:color="auto"/>
      </w:divBdr>
    </w:div>
    <w:div w:id="48070605">
      <w:bodyDiv w:val="1"/>
      <w:marLeft w:val="0"/>
      <w:marRight w:val="0"/>
      <w:marTop w:val="0"/>
      <w:marBottom w:val="0"/>
      <w:divBdr>
        <w:top w:val="none" w:sz="0" w:space="0" w:color="auto"/>
        <w:left w:val="none" w:sz="0" w:space="0" w:color="auto"/>
        <w:bottom w:val="none" w:sz="0" w:space="0" w:color="auto"/>
        <w:right w:val="none" w:sz="0" w:space="0" w:color="auto"/>
      </w:divBdr>
    </w:div>
    <w:div w:id="94638917">
      <w:bodyDiv w:val="1"/>
      <w:marLeft w:val="0"/>
      <w:marRight w:val="0"/>
      <w:marTop w:val="0"/>
      <w:marBottom w:val="0"/>
      <w:divBdr>
        <w:top w:val="none" w:sz="0" w:space="0" w:color="auto"/>
        <w:left w:val="none" w:sz="0" w:space="0" w:color="auto"/>
        <w:bottom w:val="none" w:sz="0" w:space="0" w:color="auto"/>
        <w:right w:val="none" w:sz="0" w:space="0" w:color="auto"/>
      </w:divBdr>
    </w:div>
    <w:div w:id="98839793">
      <w:bodyDiv w:val="1"/>
      <w:marLeft w:val="0"/>
      <w:marRight w:val="0"/>
      <w:marTop w:val="0"/>
      <w:marBottom w:val="0"/>
      <w:divBdr>
        <w:top w:val="none" w:sz="0" w:space="0" w:color="auto"/>
        <w:left w:val="none" w:sz="0" w:space="0" w:color="auto"/>
        <w:bottom w:val="none" w:sz="0" w:space="0" w:color="auto"/>
        <w:right w:val="none" w:sz="0" w:space="0" w:color="auto"/>
      </w:divBdr>
    </w:div>
    <w:div w:id="114719467">
      <w:bodyDiv w:val="1"/>
      <w:marLeft w:val="0"/>
      <w:marRight w:val="0"/>
      <w:marTop w:val="0"/>
      <w:marBottom w:val="0"/>
      <w:divBdr>
        <w:top w:val="none" w:sz="0" w:space="0" w:color="auto"/>
        <w:left w:val="none" w:sz="0" w:space="0" w:color="auto"/>
        <w:bottom w:val="none" w:sz="0" w:space="0" w:color="auto"/>
        <w:right w:val="none" w:sz="0" w:space="0" w:color="auto"/>
      </w:divBdr>
    </w:div>
    <w:div w:id="117991731">
      <w:bodyDiv w:val="1"/>
      <w:marLeft w:val="0"/>
      <w:marRight w:val="0"/>
      <w:marTop w:val="0"/>
      <w:marBottom w:val="0"/>
      <w:divBdr>
        <w:top w:val="none" w:sz="0" w:space="0" w:color="auto"/>
        <w:left w:val="none" w:sz="0" w:space="0" w:color="auto"/>
        <w:bottom w:val="none" w:sz="0" w:space="0" w:color="auto"/>
        <w:right w:val="none" w:sz="0" w:space="0" w:color="auto"/>
      </w:divBdr>
    </w:div>
    <w:div w:id="122162138">
      <w:bodyDiv w:val="1"/>
      <w:marLeft w:val="0"/>
      <w:marRight w:val="0"/>
      <w:marTop w:val="0"/>
      <w:marBottom w:val="0"/>
      <w:divBdr>
        <w:top w:val="none" w:sz="0" w:space="0" w:color="auto"/>
        <w:left w:val="none" w:sz="0" w:space="0" w:color="auto"/>
        <w:bottom w:val="none" w:sz="0" w:space="0" w:color="auto"/>
        <w:right w:val="none" w:sz="0" w:space="0" w:color="auto"/>
      </w:divBdr>
    </w:div>
    <w:div w:id="156963886">
      <w:bodyDiv w:val="1"/>
      <w:marLeft w:val="0"/>
      <w:marRight w:val="0"/>
      <w:marTop w:val="0"/>
      <w:marBottom w:val="0"/>
      <w:divBdr>
        <w:top w:val="none" w:sz="0" w:space="0" w:color="auto"/>
        <w:left w:val="none" w:sz="0" w:space="0" w:color="auto"/>
        <w:bottom w:val="none" w:sz="0" w:space="0" w:color="auto"/>
        <w:right w:val="none" w:sz="0" w:space="0" w:color="auto"/>
      </w:divBdr>
    </w:div>
    <w:div w:id="157424199">
      <w:bodyDiv w:val="1"/>
      <w:marLeft w:val="0"/>
      <w:marRight w:val="0"/>
      <w:marTop w:val="0"/>
      <w:marBottom w:val="0"/>
      <w:divBdr>
        <w:top w:val="none" w:sz="0" w:space="0" w:color="auto"/>
        <w:left w:val="none" w:sz="0" w:space="0" w:color="auto"/>
        <w:bottom w:val="none" w:sz="0" w:space="0" w:color="auto"/>
        <w:right w:val="none" w:sz="0" w:space="0" w:color="auto"/>
      </w:divBdr>
    </w:div>
    <w:div w:id="167524176">
      <w:bodyDiv w:val="1"/>
      <w:marLeft w:val="0"/>
      <w:marRight w:val="0"/>
      <w:marTop w:val="0"/>
      <w:marBottom w:val="0"/>
      <w:divBdr>
        <w:top w:val="none" w:sz="0" w:space="0" w:color="auto"/>
        <w:left w:val="none" w:sz="0" w:space="0" w:color="auto"/>
        <w:bottom w:val="none" w:sz="0" w:space="0" w:color="auto"/>
        <w:right w:val="none" w:sz="0" w:space="0" w:color="auto"/>
      </w:divBdr>
    </w:div>
    <w:div w:id="170678489">
      <w:bodyDiv w:val="1"/>
      <w:marLeft w:val="0"/>
      <w:marRight w:val="0"/>
      <w:marTop w:val="0"/>
      <w:marBottom w:val="0"/>
      <w:divBdr>
        <w:top w:val="none" w:sz="0" w:space="0" w:color="auto"/>
        <w:left w:val="none" w:sz="0" w:space="0" w:color="auto"/>
        <w:bottom w:val="none" w:sz="0" w:space="0" w:color="auto"/>
        <w:right w:val="none" w:sz="0" w:space="0" w:color="auto"/>
      </w:divBdr>
    </w:div>
    <w:div w:id="171722131">
      <w:bodyDiv w:val="1"/>
      <w:marLeft w:val="0"/>
      <w:marRight w:val="0"/>
      <w:marTop w:val="0"/>
      <w:marBottom w:val="0"/>
      <w:divBdr>
        <w:top w:val="none" w:sz="0" w:space="0" w:color="auto"/>
        <w:left w:val="none" w:sz="0" w:space="0" w:color="auto"/>
        <w:bottom w:val="none" w:sz="0" w:space="0" w:color="auto"/>
        <w:right w:val="none" w:sz="0" w:space="0" w:color="auto"/>
      </w:divBdr>
    </w:div>
    <w:div w:id="176698304">
      <w:bodyDiv w:val="1"/>
      <w:marLeft w:val="0"/>
      <w:marRight w:val="0"/>
      <w:marTop w:val="0"/>
      <w:marBottom w:val="0"/>
      <w:divBdr>
        <w:top w:val="none" w:sz="0" w:space="0" w:color="auto"/>
        <w:left w:val="none" w:sz="0" w:space="0" w:color="auto"/>
        <w:bottom w:val="none" w:sz="0" w:space="0" w:color="auto"/>
        <w:right w:val="none" w:sz="0" w:space="0" w:color="auto"/>
      </w:divBdr>
    </w:div>
    <w:div w:id="178473278">
      <w:bodyDiv w:val="1"/>
      <w:marLeft w:val="0"/>
      <w:marRight w:val="0"/>
      <w:marTop w:val="0"/>
      <w:marBottom w:val="0"/>
      <w:divBdr>
        <w:top w:val="none" w:sz="0" w:space="0" w:color="auto"/>
        <w:left w:val="none" w:sz="0" w:space="0" w:color="auto"/>
        <w:bottom w:val="none" w:sz="0" w:space="0" w:color="auto"/>
        <w:right w:val="none" w:sz="0" w:space="0" w:color="auto"/>
      </w:divBdr>
    </w:div>
    <w:div w:id="183790611">
      <w:bodyDiv w:val="1"/>
      <w:marLeft w:val="0"/>
      <w:marRight w:val="0"/>
      <w:marTop w:val="0"/>
      <w:marBottom w:val="0"/>
      <w:divBdr>
        <w:top w:val="none" w:sz="0" w:space="0" w:color="auto"/>
        <w:left w:val="none" w:sz="0" w:space="0" w:color="auto"/>
        <w:bottom w:val="none" w:sz="0" w:space="0" w:color="auto"/>
        <w:right w:val="none" w:sz="0" w:space="0" w:color="auto"/>
      </w:divBdr>
    </w:div>
    <w:div w:id="198277497">
      <w:bodyDiv w:val="1"/>
      <w:marLeft w:val="0"/>
      <w:marRight w:val="0"/>
      <w:marTop w:val="0"/>
      <w:marBottom w:val="0"/>
      <w:divBdr>
        <w:top w:val="none" w:sz="0" w:space="0" w:color="auto"/>
        <w:left w:val="none" w:sz="0" w:space="0" w:color="auto"/>
        <w:bottom w:val="none" w:sz="0" w:space="0" w:color="auto"/>
        <w:right w:val="none" w:sz="0" w:space="0" w:color="auto"/>
      </w:divBdr>
    </w:div>
    <w:div w:id="201744607">
      <w:bodyDiv w:val="1"/>
      <w:marLeft w:val="0"/>
      <w:marRight w:val="0"/>
      <w:marTop w:val="0"/>
      <w:marBottom w:val="0"/>
      <w:divBdr>
        <w:top w:val="none" w:sz="0" w:space="0" w:color="auto"/>
        <w:left w:val="none" w:sz="0" w:space="0" w:color="auto"/>
        <w:bottom w:val="none" w:sz="0" w:space="0" w:color="auto"/>
        <w:right w:val="none" w:sz="0" w:space="0" w:color="auto"/>
      </w:divBdr>
    </w:div>
    <w:div w:id="204174032">
      <w:bodyDiv w:val="1"/>
      <w:marLeft w:val="0"/>
      <w:marRight w:val="0"/>
      <w:marTop w:val="0"/>
      <w:marBottom w:val="0"/>
      <w:divBdr>
        <w:top w:val="none" w:sz="0" w:space="0" w:color="auto"/>
        <w:left w:val="none" w:sz="0" w:space="0" w:color="auto"/>
        <w:bottom w:val="none" w:sz="0" w:space="0" w:color="auto"/>
        <w:right w:val="none" w:sz="0" w:space="0" w:color="auto"/>
      </w:divBdr>
    </w:div>
    <w:div w:id="206071508">
      <w:bodyDiv w:val="1"/>
      <w:marLeft w:val="0"/>
      <w:marRight w:val="0"/>
      <w:marTop w:val="0"/>
      <w:marBottom w:val="0"/>
      <w:divBdr>
        <w:top w:val="none" w:sz="0" w:space="0" w:color="auto"/>
        <w:left w:val="none" w:sz="0" w:space="0" w:color="auto"/>
        <w:bottom w:val="none" w:sz="0" w:space="0" w:color="auto"/>
        <w:right w:val="none" w:sz="0" w:space="0" w:color="auto"/>
      </w:divBdr>
    </w:div>
    <w:div w:id="210459383">
      <w:bodyDiv w:val="1"/>
      <w:marLeft w:val="0"/>
      <w:marRight w:val="0"/>
      <w:marTop w:val="0"/>
      <w:marBottom w:val="0"/>
      <w:divBdr>
        <w:top w:val="none" w:sz="0" w:space="0" w:color="auto"/>
        <w:left w:val="none" w:sz="0" w:space="0" w:color="auto"/>
        <w:bottom w:val="none" w:sz="0" w:space="0" w:color="auto"/>
        <w:right w:val="none" w:sz="0" w:space="0" w:color="auto"/>
      </w:divBdr>
    </w:div>
    <w:div w:id="211231271">
      <w:bodyDiv w:val="1"/>
      <w:marLeft w:val="0"/>
      <w:marRight w:val="0"/>
      <w:marTop w:val="0"/>
      <w:marBottom w:val="0"/>
      <w:divBdr>
        <w:top w:val="none" w:sz="0" w:space="0" w:color="auto"/>
        <w:left w:val="none" w:sz="0" w:space="0" w:color="auto"/>
        <w:bottom w:val="none" w:sz="0" w:space="0" w:color="auto"/>
        <w:right w:val="none" w:sz="0" w:space="0" w:color="auto"/>
      </w:divBdr>
    </w:div>
    <w:div w:id="220409806">
      <w:bodyDiv w:val="1"/>
      <w:marLeft w:val="0"/>
      <w:marRight w:val="0"/>
      <w:marTop w:val="0"/>
      <w:marBottom w:val="0"/>
      <w:divBdr>
        <w:top w:val="none" w:sz="0" w:space="0" w:color="auto"/>
        <w:left w:val="none" w:sz="0" w:space="0" w:color="auto"/>
        <w:bottom w:val="none" w:sz="0" w:space="0" w:color="auto"/>
        <w:right w:val="none" w:sz="0" w:space="0" w:color="auto"/>
      </w:divBdr>
    </w:div>
    <w:div w:id="226847029">
      <w:bodyDiv w:val="1"/>
      <w:marLeft w:val="0"/>
      <w:marRight w:val="0"/>
      <w:marTop w:val="0"/>
      <w:marBottom w:val="0"/>
      <w:divBdr>
        <w:top w:val="none" w:sz="0" w:space="0" w:color="auto"/>
        <w:left w:val="none" w:sz="0" w:space="0" w:color="auto"/>
        <w:bottom w:val="none" w:sz="0" w:space="0" w:color="auto"/>
        <w:right w:val="none" w:sz="0" w:space="0" w:color="auto"/>
      </w:divBdr>
    </w:div>
    <w:div w:id="226913581">
      <w:bodyDiv w:val="1"/>
      <w:marLeft w:val="0"/>
      <w:marRight w:val="0"/>
      <w:marTop w:val="0"/>
      <w:marBottom w:val="0"/>
      <w:divBdr>
        <w:top w:val="none" w:sz="0" w:space="0" w:color="auto"/>
        <w:left w:val="none" w:sz="0" w:space="0" w:color="auto"/>
        <w:bottom w:val="none" w:sz="0" w:space="0" w:color="auto"/>
        <w:right w:val="none" w:sz="0" w:space="0" w:color="auto"/>
      </w:divBdr>
    </w:div>
    <w:div w:id="233468304">
      <w:bodyDiv w:val="1"/>
      <w:marLeft w:val="0"/>
      <w:marRight w:val="0"/>
      <w:marTop w:val="0"/>
      <w:marBottom w:val="0"/>
      <w:divBdr>
        <w:top w:val="none" w:sz="0" w:space="0" w:color="auto"/>
        <w:left w:val="none" w:sz="0" w:space="0" w:color="auto"/>
        <w:bottom w:val="none" w:sz="0" w:space="0" w:color="auto"/>
        <w:right w:val="none" w:sz="0" w:space="0" w:color="auto"/>
      </w:divBdr>
    </w:div>
    <w:div w:id="242379727">
      <w:bodyDiv w:val="1"/>
      <w:marLeft w:val="0"/>
      <w:marRight w:val="0"/>
      <w:marTop w:val="0"/>
      <w:marBottom w:val="0"/>
      <w:divBdr>
        <w:top w:val="none" w:sz="0" w:space="0" w:color="auto"/>
        <w:left w:val="none" w:sz="0" w:space="0" w:color="auto"/>
        <w:bottom w:val="none" w:sz="0" w:space="0" w:color="auto"/>
        <w:right w:val="none" w:sz="0" w:space="0" w:color="auto"/>
      </w:divBdr>
    </w:div>
    <w:div w:id="243537306">
      <w:bodyDiv w:val="1"/>
      <w:marLeft w:val="0"/>
      <w:marRight w:val="0"/>
      <w:marTop w:val="0"/>
      <w:marBottom w:val="0"/>
      <w:divBdr>
        <w:top w:val="none" w:sz="0" w:space="0" w:color="auto"/>
        <w:left w:val="none" w:sz="0" w:space="0" w:color="auto"/>
        <w:bottom w:val="none" w:sz="0" w:space="0" w:color="auto"/>
        <w:right w:val="none" w:sz="0" w:space="0" w:color="auto"/>
      </w:divBdr>
    </w:div>
    <w:div w:id="252469063">
      <w:bodyDiv w:val="1"/>
      <w:marLeft w:val="0"/>
      <w:marRight w:val="0"/>
      <w:marTop w:val="0"/>
      <w:marBottom w:val="0"/>
      <w:divBdr>
        <w:top w:val="none" w:sz="0" w:space="0" w:color="auto"/>
        <w:left w:val="none" w:sz="0" w:space="0" w:color="auto"/>
        <w:bottom w:val="none" w:sz="0" w:space="0" w:color="auto"/>
        <w:right w:val="none" w:sz="0" w:space="0" w:color="auto"/>
      </w:divBdr>
    </w:div>
    <w:div w:id="255674588">
      <w:bodyDiv w:val="1"/>
      <w:marLeft w:val="0"/>
      <w:marRight w:val="0"/>
      <w:marTop w:val="0"/>
      <w:marBottom w:val="0"/>
      <w:divBdr>
        <w:top w:val="none" w:sz="0" w:space="0" w:color="auto"/>
        <w:left w:val="none" w:sz="0" w:space="0" w:color="auto"/>
        <w:bottom w:val="none" w:sz="0" w:space="0" w:color="auto"/>
        <w:right w:val="none" w:sz="0" w:space="0" w:color="auto"/>
      </w:divBdr>
    </w:div>
    <w:div w:id="259410785">
      <w:bodyDiv w:val="1"/>
      <w:marLeft w:val="0"/>
      <w:marRight w:val="0"/>
      <w:marTop w:val="0"/>
      <w:marBottom w:val="0"/>
      <w:divBdr>
        <w:top w:val="none" w:sz="0" w:space="0" w:color="auto"/>
        <w:left w:val="none" w:sz="0" w:space="0" w:color="auto"/>
        <w:bottom w:val="none" w:sz="0" w:space="0" w:color="auto"/>
        <w:right w:val="none" w:sz="0" w:space="0" w:color="auto"/>
      </w:divBdr>
    </w:div>
    <w:div w:id="261839782">
      <w:bodyDiv w:val="1"/>
      <w:marLeft w:val="0"/>
      <w:marRight w:val="0"/>
      <w:marTop w:val="0"/>
      <w:marBottom w:val="0"/>
      <w:divBdr>
        <w:top w:val="none" w:sz="0" w:space="0" w:color="auto"/>
        <w:left w:val="none" w:sz="0" w:space="0" w:color="auto"/>
        <w:bottom w:val="none" w:sz="0" w:space="0" w:color="auto"/>
        <w:right w:val="none" w:sz="0" w:space="0" w:color="auto"/>
      </w:divBdr>
    </w:div>
    <w:div w:id="269432079">
      <w:bodyDiv w:val="1"/>
      <w:marLeft w:val="0"/>
      <w:marRight w:val="0"/>
      <w:marTop w:val="0"/>
      <w:marBottom w:val="0"/>
      <w:divBdr>
        <w:top w:val="none" w:sz="0" w:space="0" w:color="auto"/>
        <w:left w:val="none" w:sz="0" w:space="0" w:color="auto"/>
        <w:bottom w:val="none" w:sz="0" w:space="0" w:color="auto"/>
        <w:right w:val="none" w:sz="0" w:space="0" w:color="auto"/>
      </w:divBdr>
    </w:div>
    <w:div w:id="269969616">
      <w:bodyDiv w:val="1"/>
      <w:marLeft w:val="0"/>
      <w:marRight w:val="0"/>
      <w:marTop w:val="0"/>
      <w:marBottom w:val="0"/>
      <w:divBdr>
        <w:top w:val="none" w:sz="0" w:space="0" w:color="auto"/>
        <w:left w:val="none" w:sz="0" w:space="0" w:color="auto"/>
        <w:bottom w:val="none" w:sz="0" w:space="0" w:color="auto"/>
        <w:right w:val="none" w:sz="0" w:space="0" w:color="auto"/>
      </w:divBdr>
    </w:div>
    <w:div w:id="301620705">
      <w:bodyDiv w:val="1"/>
      <w:marLeft w:val="0"/>
      <w:marRight w:val="0"/>
      <w:marTop w:val="0"/>
      <w:marBottom w:val="0"/>
      <w:divBdr>
        <w:top w:val="none" w:sz="0" w:space="0" w:color="auto"/>
        <w:left w:val="none" w:sz="0" w:space="0" w:color="auto"/>
        <w:bottom w:val="none" w:sz="0" w:space="0" w:color="auto"/>
        <w:right w:val="none" w:sz="0" w:space="0" w:color="auto"/>
      </w:divBdr>
    </w:div>
    <w:div w:id="302663952">
      <w:bodyDiv w:val="1"/>
      <w:marLeft w:val="0"/>
      <w:marRight w:val="0"/>
      <w:marTop w:val="0"/>
      <w:marBottom w:val="0"/>
      <w:divBdr>
        <w:top w:val="none" w:sz="0" w:space="0" w:color="auto"/>
        <w:left w:val="none" w:sz="0" w:space="0" w:color="auto"/>
        <w:bottom w:val="none" w:sz="0" w:space="0" w:color="auto"/>
        <w:right w:val="none" w:sz="0" w:space="0" w:color="auto"/>
      </w:divBdr>
    </w:div>
    <w:div w:id="314190889">
      <w:bodyDiv w:val="1"/>
      <w:marLeft w:val="0"/>
      <w:marRight w:val="0"/>
      <w:marTop w:val="0"/>
      <w:marBottom w:val="0"/>
      <w:divBdr>
        <w:top w:val="none" w:sz="0" w:space="0" w:color="auto"/>
        <w:left w:val="none" w:sz="0" w:space="0" w:color="auto"/>
        <w:bottom w:val="none" w:sz="0" w:space="0" w:color="auto"/>
        <w:right w:val="none" w:sz="0" w:space="0" w:color="auto"/>
      </w:divBdr>
    </w:div>
    <w:div w:id="332030979">
      <w:bodyDiv w:val="1"/>
      <w:marLeft w:val="0"/>
      <w:marRight w:val="0"/>
      <w:marTop w:val="0"/>
      <w:marBottom w:val="0"/>
      <w:divBdr>
        <w:top w:val="none" w:sz="0" w:space="0" w:color="auto"/>
        <w:left w:val="none" w:sz="0" w:space="0" w:color="auto"/>
        <w:bottom w:val="none" w:sz="0" w:space="0" w:color="auto"/>
        <w:right w:val="none" w:sz="0" w:space="0" w:color="auto"/>
      </w:divBdr>
    </w:div>
    <w:div w:id="333998994">
      <w:bodyDiv w:val="1"/>
      <w:marLeft w:val="0"/>
      <w:marRight w:val="0"/>
      <w:marTop w:val="0"/>
      <w:marBottom w:val="0"/>
      <w:divBdr>
        <w:top w:val="none" w:sz="0" w:space="0" w:color="auto"/>
        <w:left w:val="none" w:sz="0" w:space="0" w:color="auto"/>
        <w:bottom w:val="none" w:sz="0" w:space="0" w:color="auto"/>
        <w:right w:val="none" w:sz="0" w:space="0" w:color="auto"/>
      </w:divBdr>
    </w:div>
    <w:div w:id="335612859">
      <w:bodyDiv w:val="1"/>
      <w:marLeft w:val="0"/>
      <w:marRight w:val="0"/>
      <w:marTop w:val="0"/>
      <w:marBottom w:val="0"/>
      <w:divBdr>
        <w:top w:val="none" w:sz="0" w:space="0" w:color="auto"/>
        <w:left w:val="none" w:sz="0" w:space="0" w:color="auto"/>
        <w:bottom w:val="none" w:sz="0" w:space="0" w:color="auto"/>
        <w:right w:val="none" w:sz="0" w:space="0" w:color="auto"/>
      </w:divBdr>
    </w:div>
    <w:div w:id="339356445">
      <w:bodyDiv w:val="1"/>
      <w:marLeft w:val="0"/>
      <w:marRight w:val="0"/>
      <w:marTop w:val="0"/>
      <w:marBottom w:val="0"/>
      <w:divBdr>
        <w:top w:val="none" w:sz="0" w:space="0" w:color="auto"/>
        <w:left w:val="none" w:sz="0" w:space="0" w:color="auto"/>
        <w:bottom w:val="none" w:sz="0" w:space="0" w:color="auto"/>
        <w:right w:val="none" w:sz="0" w:space="0" w:color="auto"/>
      </w:divBdr>
    </w:div>
    <w:div w:id="349142132">
      <w:bodyDiv w:val="1"/>
      <w:marLeft w:val="0"/>
      <w:marRight w:val="0"/>
      <w:marTop w:val="0"/>
      <w:marBottom w:val="0"/>
      <w:divBdr>
        <w:top w:val="none" w:sz="0" w:space="0" w:color="auto"/>
        <w:left w:val="none" w:sz="0" w:space="0" w:color="auto"/>
        <w:bottom w:val="none" w:sz="0" w:space="0" w:color="auto"/>
        <w:right w:val="none" w:sz="0" w:space="0" w:color="auto"/>
      </w:divBdr>
    </w:div>
    <w:div w:id="356976869">
      <w:bodyDiv w:val="1"/>
      <w:marLeft w:val="0"/>
      <w:marRight w:val="0"/>
      <w:marTop w:val="0"/>
      <w:marBottom w:val="0"/>
      <w:divBdr>
        <w:top w:val="none" w:sz="0" w:space="0" w:color="auto"/>
        <w:left w:val="none" w:sz="0" w:space="0" w:color="auto"/>
        <w:bottom w:val="none" w:sz="0" w:space="0" w:color="auto"/>
        <w:right w:val="none" w:sz="0" w:space="0" w:color="auto"/>
      </w:divBdr>
    </w:div>
    <w:div w:id="370308853">
      <w:bodyDiv w:val="1"/>
      <w:marLeft w:val="0"/>
      <w:marRight w:val="0"/>
      <w:marTop w:val="0"/>
      <w:marBottom w:val="0"/>
      <w:divBdr>
        <w:top w:val="none" w:sz="0" w:space="0" w:color="auto"/>
        <w:left w:val="none" w:sz="0" w:space="0" w:color="auto"/>
        <w:bottom w:val="none" w:sz="0" w:space="0" w:color="auto"/>
        <w:right w:val="none" w:sz="0" w:space="0" w:color="auto"/>
      </w:divBdr>
    </w:div>
    <w:div w:id="380520407">
      <w:bodyDiv w:val="1"/>
      <w:marLeft w:val="0"/>
      <w:marRight w:val="0"/>
      <w:marTop w:val="0"/>
      <w:marBottom w:val="0"/>
      <w:divBdr>
        <w:top w:val="none" w:sz="0" w:space="0" w:color="auto"/>
        <w:left w:val="none" w:sz="0" w:space="0" w:color="auto"/>
        <w:bottom w:val="none" w:sz="0" w:space="0" w:color="auto"/>
        <w:right w:val="none" w:sz="0" w:space="0" w:color="auto"/>
      </w:divBdr>
    </w:div>
    <w:div w:id="391193794">
      <w:bodyDiv w:val="1"/>
      <w:marLeft w:val="0"/>
      <w:marRight w:val="0"/>
      <w:marTop w:val="0"/>
      <w:marBottom w:val="0"/>
      <w:divBdr>
        <w:top w:val="none" w:sz="0" w:space="0" w:color="auto"/>
        <w:left w:val="none" w:sz="0" w:space="0" w:color="auto"/>
        <w:bottom w:val="none" w:sz="0" w:space="0" w:color="auto"/>
        <w:right w:val="none" w:sz="0" w:space="0" w:color="auto"/>
      </w:divBdr>
    </w:div>
    <w:div w:id="393167903">
      <w:bodyDiv w:val="1"/>
      <w:marLeft w:val="0"/>
      <w:marRight w:val="0"/>
      <w:marTop w:val="0"/>
      <w:marBottom w:val="0"/>
      <w:divBdr>
        <w:top w:val="none" w:sz="0" w:space="0" w:color="auto"/>
        <w:left w:val="none" w:sz="0" w:space="0" w:color="auto"/>
        <w:bottom w:val="none" w:sz="0" w:space="0" w:color="auto"/>
        <w:right w:val="none" w:sz="0" w:space="0" w:color="auto"/>
      </w:divBdr>
    </w:div>
    <w:div w:id="401559123">
      <w:bodyDiv w:val="1"/>
      <w:marLeft w:val="0"/>
      <w:marRight w:val="0"/>
      <w:marTop w:val="0"/>
      <w:marBottom w:val="0"/>
      <w:divBdr>
        <w:top w:val="none" w:sz="0" w:space="0" w:color="auto"/>
        <w:left w:val="none" w:sz="0" w:space="0" w:color="auto"/>
        <w:bottom w:val="none" w:sz="0" w:space="0" w:color="auto"/>
        <w:right w:val="none" w:sz="0" w:space="0" w:color="auto"/>
      </w:divBdr>
    </w:div>
    <w:div w:id="415176970">
      <w:bodyDiv w:val="1"/>
      <w:marLeft w:val="0"/>
      <w:marRight w:val="0"/>
      <w:marTop w:val="0"/>
      <w:marBottom w:val="0"/>
      <w:divBdr>
        <w:top w:val="none" w:sz="0" w:space="0" w:color="auto"/>
        <w:left w:val="none" w:sz="0" w:space="0" w:color="auto"/>
        <w:bottom w:val="none" w:sz="0" w:space="0" w:color="auto"/>
        <w:right w:val="none" w:sz="0" w:space="0" w:color="auto"/>
      </w:divBdr>
    </w:div>
    <w:div w:id="421679204">
      <w:bodyDiv w:val="1"/>
      <w:marLeft w:val="0"/>
      <w:marRight w:val="0"/>
      <w:marTop w:val="0"/>
      <w:marBottom w:val="0"/>
      <w:divBdr>
        <w:top w:val="none" w:sz="0" w:space="0" w:color="auto"/>
        <w:left w:val="none" w:sz="0" w:space="0" w:color="auto"/>
        <w:bottom w:val="none" w:sz="0" w:space="0" w:color="auto"/>
        <w:right w:val="none" w:sz="0" w:space="0" w:color="auto"/>
      </w:divBdr>
    </w:div>
    <w:div w:id="424034504">
      <w:bodyDiv w:val="1"/>
      <w:marLeft w:val="0"/>
      <w:marRight w:val="0"/>
      <w:marTop w:val="0"/>
      <w:marBottom w:val="0"/>
      <w:divBdr>
        <w:top w:val="none" w:sz="0" w:space="0" w:color="auto"/>
        <w:left w:val="none" w:sz="0" w:space="0" w:color="auto"/>
        <w:bottom w:val="none" w:sz="0" w:space="0" w:color="auto"/>
        <w:right w:val="none" w:sz="0" w:space="0" w:color="auto"/>
      </w:divBdr>
    </w:div>
    <w:div w:id="429591921">
      <w:bodyDiv w:val="1"/>
      <w:marLeft w:val="0"/>
      <w:marRight w:val="0"/>
      <w:marTop w:val="0"/>
      <w:marBottom w:val="0"/>
      <w:divBdr>
        <w:top w:val="none" w:sz="0" w:space="0" w:color="auto"/>
        <w:left w:val="none" w:sz="0" w:space="0" w:color="auto"/>
        <w:bottom w:val="none" w:sz="0" w:space="0" w:color="auto"/>
        <w:right w:val="none" w:sz="0" w:space="0" w:color="auto"/>
      </w:divBdr>
    </w:div>
    <w:div w:id="437678327">
      <w:bodyDiv w:val="1"/>
      <w:marLeft w:val="0"/>
      <w:marRight w:val="0"/>
      <w:marTop w:val="0"/>
      <w:marBottom w:val="0"/>
      <w:divBdr>
        <w:top w:val="none" w:sz="0" w:space="0" w:color="auto"/>
        <w:left w:val="none" w:sz="0" w:space="0" w:color="auto"/>
        <w:bottom w:val="none" w:sz="0" w:space="0" w:color="auto"/>
        <w:right w:val="none" w:sz="0" w:space="0" w:color="auto"/>
      </w:divBdr>
    </w:div>
    <w:div w:id="440035570">
      <w:bodyDiv w:val="1"/>
      <w:marLeft w:val="0"/>
      <w:marRight w:val="0"/>
      <w:marTop w:val="0"/>
      <w:marBottom w:val="0"/>
      <w:divBdr>
        <w:top w:val="none" w:sz="0" w:space="0" w:color="auto"/>
        <w:left w:val="none" w:sz="0" w:space="0" w:color="auto"/>
        <w:bottom w:val="none" w:sz="0" w:space="0" w:color="auto"/>
        <w:right w:val="none" w:sz="0" w:space="0" w:color="auto"/>
      </w:divBdr>
    </w:div>
    <w:div w:id="445660297">
      <w:bodyDiv w:val="1"/>
      <w:marLeft w:val="0"/>
      <w:marRight w:val="0"/>
      <w:marTop w:val="0"/>
      <w:marBottom w:val="0"/>
      <w:divBdr>
        <w:top w:val="none" w:sz="0" w:space="0" w:color="auto"/>
        <w:left w:val="none" w:sz="0" w:space="0" w:color="auto"/>
        <w:bottom w:val="none" w:sz="0" w:space="0" w:color="auto"/>
        <w:right w:val="none" w:sz="0" w:space="0" w:color="auto"/>
      </w:divBdr>
    </w:div>
    <w:div w:id="448009530">
      <w:bodyDiv w:val="1"/>
      <w:marLeft w:val="0"/>
      <w:marRight w:val="0"/>
      <w:marTop w:val="0"/>
      <w:marBottom w:val="0"/>
      <w:divBdr>
        <w:top w:val="none" w:sz="0" w:space="0" w:color="auto"/>
        <w:left w:val="none" w:sz="0" w:space="0" w:color="auto"/>
        <w:bottom w:val="none" w:sz="0" w:space="0" w:color="auto"/>
        <w:right w:val="none" w:sz="0" w:space="0" w:color="auto"/>
      </w:divBdr>
    </w:div>
    <w:div w:id="468019596">
      <w:bodyDiv w:val="1"/>
      <w:marLeft w:val="0"/>
      <w:marRight w:val="0"/>
      <w:marTop w:val="0"/>
      <w:marBottom w:val="0"/>
      <w:divBdr>
        <w:top w:val="none" w:sz="0" w:space="0" w:color="auto"/>
        <w:left w:val="none" w:sz="0" w:space="0" w:color="auto"/>
        <w:bottom w:val="none" w:sz="0" w:space="0" w:color="auto"/>
        <w:right w:val="none" w:sz="0" w:space="0" w:color="auto"/>
      </w:divBdr>
    </w:div>
    <w:div w:id="476652681">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887230">
      <w:bodyDiv w:val="1"/>
      <w:marLeft w:val="0"/>
      <w:marRight w:val="0"/>
      <w:marTop w:val="0"/>
      <w:marBottom w:val="0"/>
      <w:divBdr>
        <w:top w:val="none" w:sz="0" w:space="0" w:color="auto"/>
        <w:left w:val="none" w:sz="0" w:space="0" w:color="auto"/>
        <w:bottom w:val="none" w:sz="0" w:space="0" w:color="auto"/>
        <w:right w:val="none" w:sz="0" w:space="0" w:color="auto"/>
      </w:divBdr>
    </w:div>
    <w:div w:id="479273009">
      <w:bodyDiv w:val="1"/>
      <w:marLeft w:val="0"/>
      <w:marRight w:val="0"/>
      <w:marTop w:val="0"/>
      <w:marBottom w:val="0"/>
      <w:divBdr>
        <w:top w:val="none" w:sz="0" w:space="0" w:color="auto"/>
        <w:left w:val="none" w:sz="0" w:space="0" w:color="auto"/>
        <w:bottom w:val="none" w:sz="0" w:space="0" w:color="auto"/>
        <w:right w:val="none" w:sz="0" w:space="0" w:color="auto"/>
      </w:divBdr>
    </w:div>
    <w:div w:id="481117066">
      <w:bodyDiv w:val="1"/>
      <w:marLeft w:val="0"/>
      <w:marRight w:val="0"/>
      <w:marTop w:val="0"/>
      <w:marBottom w:val="0"/>
      <w:divBdr>
        <w:top w:val="none" w:sz="0" w:space="0" w:color="auto"/>
        <w:left w:val="none" w:sz="0" w:space="0" w:color="auto"/>
        <w:bottom w:val="none" w:sz="0" w:space="0" w:color="auto"/>
        <w:right w:val="none" w:sz="0" w:space="0" w:color="auto"/>
      </w:divBdr>
    </w:div>
    <w:div w:id="484515248">
      <w:bodyDiv w:val="1"/>
      <w:marLeft w:val="0"/>
      <w:marRight w:val="0"/>
      <w:marTop w:val="0"/>
      <w:marBottom w:val="0"/>
      <w:divBdr>
        <w:top w:val="none" w:sz="0" w:space="0" w:color="auto"/>
        <w:left w:val="none" w:sz="0" w:space="0" w:color="auto"/>
        <w:bottom w:val="none" w:sz="0" w:space="0" w:color="auto"/>
        <w:right w:val="none" w:sz="0" w:space="0" w:color="auto"/>
      </w:divBdr>
    </w:div>
    <w:div w:id="494422883">
      <w:bodyDiv w:val="1"/>
      <w:marLeft w:val="0"/>
      <w:marRight w:val="0"/>
      <w:marTop w:val="0"/>
      <w:marBottom w:val="0"/>
      <w:divBdr>
        <w:top w:val="none" w:sz="0" w:space="0" w:color="auto"/>
        <w:left w:val="none" w:sz="0" w:space="0" w:color="auto"/>
        <w:bottom w:val="none" w:sz="0" w:space="0" w:color="auto"/>
        <w:right w:val="none" w:sz="0" w:space="0" w:color="auto"/>
      </w:divBdr>
    </w:div>
    <w:div w:id="503281290">
      <w:bodyDiv w:val="1"/>
      <w:marLeft w:val="0"/>
      <w:marRight w:val="0"/>
      <w:marTop w:val="0"/>
      <w:marBottom w:val="0"/>
      <w:divBdr>
        <w:top w:val="none" w:sz="0" w:space="0" w:color="auto"/>
        <w:left w:val="none" w:sz="0" w:space="0" w:color="auto"/>
        <w:bottom w:val="none" w:sz="0" w:space="0" w:color="auto"/>
        <w:right w:val="none" w:sz="0" w:space="0" w:color="auto"/>
      </w:divBdr>
    </w:div>
    <w:div w:id="504324464">
      <w:bodyDiv w:val="1"/>
      <w:marLeft w:val="0"/>
      <w:marRight w:val="0"/>
      <w:marTop w:val="0"/>
      <w:marBottom w:val="0"/>
      <w:divBdr>
        <w:top w:val="none" w:sz="0" w:space="0" w:color="auto"/>
        <w:left w:val="none" w:sz="0" w:space="0" w:color="auto"/>
        <w:bottom w:val="none" w:sz="0" w:space="0" w:color="auto"/>
        <w:right w:val="none" w:sz="0" w:space="0" w:color="auto"/>
      </w:divBdr>
    </w:div>
    <w:div w:id="517160101">
      <w:bodyDiv w:val="1"/>
      <w:marLeft w:val="0"/>
      <w:marRight w:val="0"/>
      <w:marTop w:val="0"/>
      <w:marBottom w:val="0"/>
      <w:divBdr>
        <w:top w:val="none" w:sz="0" w:space="0" w:color="auto"/>
        <w:left w:val="none" w:sz="0" w:space="0" w:color="auto"/>
        <w:bottom w:val="none" w:sz="0" w:space="0" w:color="auto"/>
        <w:right w:val="none" w:sz="0" w:space="0" w:color="auto"/>
      </w:divBdr>
    </w:div>
    <w:div w:id="537358290">
      <w:bodyDiv w:val="1"/>
      <w:marLeft w:val="0"/>
      <w:marRight w:val="0"/>
      <w:marTop w:val="0"/>
      <w:marBottom w:val="0"/>
      <w:divBdr>
        <w:top w:val="none" w:sz="0" w:space="0" w:color="auto"/>
        <w:left w:val="none" w:sz="0" w:space="0" w:color="auto"/>
        <w:bottom w:val="none" w:sz="0" w:space="0" w:color="auto"/>
        <w:right w:val="none" w:sz="0" w:space="0" w:color="auto"/>
      </w:divBdr>
    </w:div>
    <w:div w:id="537667259">
      <w:bodyDiv w:val="1"/>
      <w:marLeft w:val="0"/>
      <w:marRight w:val="0"/>
      <w:marTop w:val="0"/>
      <w:marBottom w:val="0"/>
      <w:divBdr>
        <w:top w:val="none" w:sz="0" w:space="0" w:color="auto"/>
        <w:left w:val="none" w:sz="0" w:space="0" w:color="auto"/>
        <w:bottom w:val="none" w:sz="0" w:space="0" w:color="auto"/>
        <w:right w:val="none" w:sz="0" w:space="0" w:color="auto"/>
      </w:divBdr>
    </w:div>
    <w:div w:id="538516550">
      <w:bodyDiv w:val="1"/>
      <w:marLeft w:val="0"/>
      <w:marRight w:val="0"/>
      <w:marTop w:val="0"/>
      <w:marBottom w:val="0"/>
      <w:divBdr>
        <w:top w:val="none" w:sz="0" w:space="0" w:color="auto"/>
        <w:left w:val="none" w:sz="0" w:space="0" w:color="auto"/>
        <w:bottom w:val="none" w:sz="0" w:space="0" w:color="auto"/>
        <w:right w:val="none" w:sz="0" w:space="0" w:color="auto"/>
      </w:divBdr>
    </w:div>
    <w:div w:id="550534000">
      <w:bodyDiv w:val="1"/>
      <w:marLeft w:val="0"/>
      <w:marRight w:val="0"/>
      <w:marTop w:val="0"/>
      <w:marBottom w:val="0"/>
      <w:divBdr>
        <w:top w:val="none" w:sz="0" w:space="0" w:color="auto"/>
        <w:left w:val="none" w:sz="0" w:space="0" w:color="auto"/>
        <w:bottom w:val="none" w:sz="0" w:space="0" w:color="auto"/>
        <w:right w:val="none" w:sz="0" w:space="0" w:color="auto"/>
      </w:divBdr>
    </w:div>
    <w:div w:id="559093556">
      <w:bodyDiv w:val="1"/>
      <w:marLeft w:val="0"/>
      <w:marRight w:val="0"/>
      <w:marTop w:val="0"/>
      <w:marBottom w:val="0"/>
      <w:divBdr>
        <w:top w:val="none" w:sz="0" w:space="0" w:color="auto"/>
        <w:left w:val="none" w:sz="0" w:space="0" w:color="auto"/>
        <w:bottom w:val="none" w:sz="0" w:space="0" w:color="auto"/>
        <w:right w:val="none" w:sz="0" w:space="0" w:color="auto"/>
      </w:divBdr>
    </w:div>
    <w:div w:id="566844734">
      <w:bodyDiv w:val="1"/>
      <w:marLeft w:val="0"/>
      <w:marRight w:val="0"/>
      <w:marTop w:val="0"/>
      <w:marBottom w:val="0"/>
      <w:divBdr>
        <w:top w:val="none" w:sz="0" w:space="0" w:color="auto"/>
        <w:left w:val="none" w:sz="0" w:space="0" w:color="auto"/>
        <w:bottom w:val="none" w:sz="0" w:space="0" w:color="auto"/>
        <w:right w:val="none" w:sz="0" w:space="0" w:color="auto"/>
      </w:divBdr>
    </w:div>
    <w:div w:id="575210236">
      <w:bodyDiv w:val="1"/>
      <w:marLeft w:val="0"/>
      <w:marRight w:val="0"/>
      <w:marTop w:val="0"/>
      <w:marBottom w:val="0"/>
      <w:divBdr>
        <w:top w:val="none" w:sz="0" w:space="0" w:color="auto"/>
        <w:left w:val="none" w:sz="0" w:space="0" w:color="auto"/>
        <w:bottom w:val="none" w:sz="0" w:space="0" w:color="auto"/>
        <w:right w:val="none" w:sz="0" w:space="0" w:color="auto"/>
      </w:divBdr>
    </w:div>
    <w:div w:id="581259779">
      <w:bodyDiv w:val="1"/>
      <w:marLeft w:val="0"/>
      <w:marRight w:val="0"/>
      <w:marTop w:val="0"/>
      <w:marBottom w:val="0"/>
      <w:divBdr>
        <w:top w:val="none" w:sz="0" w:space="0" w:color="auto"/>
        <w:left w:val="none" w:sz="0" w:space="0" w:color="auto"/>
        <w:bottom w:val="none" w:sz="0" w:space="0" w:color="auto"/>
        <w:right w:val="none" w:sz="0" w:space="0" w:color="auto"/>
      </w:divBdr>
    </w:div>
    <w:div w:id="584336521">
      <w:bodyDiv w:val="1"/>
      <w:marLeft w:val="0"/>
      <w:marRight w:val="0"/>
      <w:marTop w:val="0"/>
      <w:marBottom w:val="0"/>
      <w:divBdr>
        <w:top w:val="none" w:sz="0" w:space="0" w:color="auto"/>
        <w:left w:val="none" w:sz="0" w:space="0" w:color="auto"/>
        <w:bottom w:val="none" w:sz="0" w:space="0" w:color="auto"/>
        <w:right w:val="none" w:sz="0" w:space="0" w:color="auto"/>
      </w:divBdr>
    </w:div>
    <w:div w:id="588463488">
      <w:bodyDiv w:val="1"/>
      <w:marLeft w:val="0"/>
      <w:marRight w:val="0"/>
      <w:marTop w:val="0"/>
      <w:marBottom w:val="0"/>
      <w:divBdr>
        <w:top w:val="none" w:sz="0" w:space="0" w:color="auto"/>
        <w:left w:val="none" w:sz="0" w:space="0" w:color="auto"/>
        <w:bottom w:val="none" w:sz="0" w:space="0" w:color="auto"/>
        <w:right w:val="none" w:sz="0" w:space="0" w:color="auto"/>
      </w:divBdr>
    </w:div>
    <w:div w:id="589435666">
      <w:bodyDiv w:val="1"/>
      <w:marLeft w:val="0"/>
      <w:marRight w:val="0"/>
      <w:marTop w:val="0"/>
      <w:marBottom w:val="0"/>
      <w:divBdr>
        <w:top w:val="none" w:sz="0" w:space="0" w:color="auto"/>
        <w:left w:val="none" w:sz="0" w:space="0" w:color="auto"/>
        <w:bottom w:val="none" w:sz="0" w:space="0" w:color="auto"/>
        <w:right w:val="none" w:sz="0" w:space="0" w:color="auto"/>
      </w:divBdr>
    </w:div>
    <w:div w:id="615915211">
      <w:bodyDiv w:val="1"/>
      <w:marLeft w:val="0"/>
      <w:marRight w:val="0"/>
      <w:marTop w:val="0"/>
      <w:marBottom w:val="0"/>
      <w:divBdr>
        <w:top w:val="none" w:sz="0" w:space="0" w:color="auto"/>
        <w:left w:val="none" w:sz="0" w:space="0" w:color="auto"/>
        <w:bottom w:val="none" w:sz="0" w:space="0" w:color="auto"/>
        <w:right w:val="none" w:sz="0" w:space="0" w:color="auto"/>
      </w:divBdr>
    </w:div>
    <w:div w:id="624314760">
      <w:bodyDiv w:val="1"/>
      <w:marLeft w:val="0"/>
      <w:marRight w:val="0"/>
      <w:marTop w:val="0"/>
      <w:marBottom w:val="0"/>
      <w:divBdr>
        <w:top w:val="none" w:sz="0" w:space="0" w:color="auto"/>
        <w:left w:val="none" w:sz="0" w:space="0" w:color="auto"/>
        <w:bottom w:val="none" w:sz="0" w:space="0" w:color="auto"/>
        <w:right w:val="none" w:sz="0" w:space="0" w:color="auto"/>
      </w:divBdr>
    </w:div>
    <w:div w:id="624703763">
      <w:bodyDiv w:val="1"/>
      <w:marLeft w:val="0"/>
      <w:marRight w:val="0"/>
      <w:marTop w:val="0"/>
      <w:marBottom w:val="0"/>
      <w:divBdr>
        <w:top w:val="none" w:sz="0" w:space="0" w:color="auto"/>
        <w:left w:val="none" w:sz="0" w:space="0" w:color="auto"/>
        <w:bottom w:val="none" w:sz="0" w:space="0" w:color="auto"/>
        <w:right w:val="none" w:sz="0" w:space="0" w:color="auto"/>
      </w:divBdr>
    </w:div>
    <w:div w:id="624966754">
      <w:bodyDiv w:val="1"/>
      <w:marLeft w:val="0"/>
      <w:marRight w:val="0"/>
      <w:marTop w:val="0"/>
      <w:marBottom w:val="0"/>
      <w:divBdr>
        <w:top w:val="none" w:sz="0" w:space="0" w:color="auto"/>
        <w:left w:val="none" w:sz="0" w:space="0" w:color="auto"/>
        <w:bottom w:val="none" w:sz="0" w:space="0" w:color="auto"/>
        <w:right w:val="none" w:sz="0" w:space="0" w:color="auto"/>
      </w:divBdr>
    </w:div>
    <w:div w:id="625500552">
      <w:bodyDiv w:val="1"/>
      <w:marLeft w:val="0"/>
      <w:marRight w:val="0"/>
      <w:marTop w:val="0"/>
      <w:marBottom w:val="0"/>
      <w:divBdr>
        <w:top w:val="none" w:sz="0" w:space="0" w:color="auto"/>
        <w:left w:val="none" w:sz="0" w:space="0" w:color="auto"/>
        <w:bottom w:val="none" w:sz="0" w:space="0" w:color="auto"/>
        <w:right w:val="none" w:sz="0" w:space="0" w:color="auto"/>
      </w:divBdr>
    </w:div>
    <w:div w:id="634601406">
      <w:bodyDiv w:val="1"/>
      <w:marLeft w:val="0"/>
      <w:marRight w:val="0"/>
      <w:marTop w:val="0"/>
      <w:marBottom w:val="0"/>
      <w:divBdr>
        <w:top w:val="none" w:sz="0" w:space="0" w:color="auto"/>
        <w:left w:val="none" w:sz="0" w:space="0" w:color="auto"/>
        <w:bottom w:val="none" w:sz="0" w:space="0" w:color="auto"/>
        <w:right w:val="none" w:sz="0" w:space="0" w:color="auto"/>
      </w:divBdr>
    </w:div>
    <w:div w:id="636766608">
      <w:bodyDiv w:val="1"/>
      <w:marLeft w:val="0"/>
      <w:marRight w:val="0"/>
      <w:marTop w:val="0"/>
      <w:marBottom w:val="0"/>
      <w:divBdr>
        <w:top w:val="none" w:sz="0" w:space="0" w:color="auto"/>
        <w:left w:val="none" w:sz="0" w:space="0" w:color="auto"/>
        <w:bottom w:val="none" w:sz="0" w:space="0" w:color="auto"/>
        <w:right w:val="none" w:sz="0" w:space="0" w:color="auto"/>
      </w:divBdr>
    </w:div>
    <w:div w:id="638144320">
      <w:bodyDiv w:val="1"/>
      <w:marLeft w:val="0"/>
      <w:marRight w:val="0"/>
      <w:marTop w:val="0"/>
      <w:marBottom w:val="0"/>
      <w:divBdr>
        <w:top w:val="none" w:sz="0" w:space="0" w:color="auto"/>
        <w:left w:val="none" w:sz="0" w:space="0" w:color="auto"/>
        <w:bottom w:val="none" w:sz="0" w:space="0" w:color="auto"/>
        <w:right w:val="none" w:sz="0" w:space="0" w:color="auto"/>
      </w:divBdr>
    </w:div>
    <w:div w:id="638920918">
      <w:bodyDiv w:val="1"/>
      <w:marLeft w:val="0"/>
      <w:marRight w:val="0"/>
      <w:marTop w:val="0"/>
      <w:marBottom w:val="0"/>
      <w:divBdr>
        <w:top w:val="none" w:sz="0" w:space="0" w:color="auto"/>
        <w:left w:val="none" w:sz="0" w:space="0" w:color="auto"/>
        <w:bottom w:val="none" w:sz="0" w:space="0" w:color="auto"/>
        <w:right w:val="none" w:sz="0" w:space="0" w:color="auto"/>
      </w:divBdr>
    </w:div>
    <w:div w:id="639925402">
      <w:bodyDiv w:val="1"/>
      <w:marLeft w:val="0"/>
      <w:marRight w:val="0"/>
      <w:marTop w:val="0"/>
      <w:marBottom w:val="0"/>
      <w:divBdr>
        <w:top w:val="none" w:sz="0" w:space="0" w:color="auto"/>
        <w:left w:val="none" w:sz="0" w:space="0" w:color="auto"/>
        <w:bottom w:val="none" w:sz="0" w:space="0" w:color="auto"/>
        <w:right w:val="none" w:sz="0" w:space="0" w:color="auto"/>
      </w:divBdr>
    </w:div>
    <w:div w:id="652024199">
      <w:bodyDiv w:val="1"/>
      <w:marLeft w:val="0"/>
      <w:marRight w:val="0"/>
      <w:marTop w:val="0"/>
      <w:marBottom w:val="0"/>
      <w:divBdr>
        <w:top w:val="none" w:sz="0" w:space="0" w:color="auto"/>
        <w:left w:val="none" w:sz="0" w:space="0" w:color="auto"/>
        <w:bottom w:val="none" w:sz="0" w:space="0" w:color="auto"/>
        <w:right w:val="none" w:sz="0" w:space="0" w:color="auto"/>
      </w:divBdr>
    </w:div>
    <w:div w:id="653031187">
      <w:bodyDiv w:val="1"/>
      <w:marLeft w:val="0"/>
      <w:marRight w:val="0"/>
      <w:marTop w:val="0"/>
      <w:marBottom w:val="0"/>
      <w:divBdr>
        <w:top w:val="none" w:sz="0" w:space="0" w:color="auto"/>
        <w:left w:val="none" w:sz="0" w:space="0" w:color="auto"/>
        <w:bottom w:val="none" w:sz="0" w:space="0" w:color="auto"/>
        <w:right w:val="none" w:sz="0" w:space="0" w:color="auto"/>
      </w:divBdr>
    </w:div>
    <w:div w:id="654339799">
      <w:bodyDiv w:val="1"/>
      <w:marLeft w:val="0"/>
      <w:marRight w:val="0"/>
      <w:marTop w:val="0"/>
      <w:marBottom w:val="0"/>
      <w:divBdr>
        <w:top w:val="none" w:sz="0" w:space="0" w:color="auto"/>
        <w:left w:val="none" w:sz="0" w:space="0" w:color="auto"/>
        <w:bottom w:val="none" w:sz="0" w:space="0" w:color="auto"/>
        <w:right w:val="none" w:sz="0" w:space="0" w:color="auto"/>
      </w:divBdr>
    </w:div>
    <w:div w:id="654728266">
      <w:bodyDiv w:val="1"/>
      <w:marLeft w:val="0"/>
      <w:marRight w:val="0"/>
      <w:marTop w:val="0"/>
      <w:marBottom w:val="0"/>
      <w:divBdr>
        <w:top w:val="none" w:sz="0" w:space="0" w:color="auto"/>
        <w:left w:val="none" w:sz="0" w:space="0" w:color="auto"/>
        <w:bottom w:val="none" w:sz="0" w:space="0" w:color="auto"/>
        <w:right w:val="none" w:sz="0" w:space="0" w:color="auto"/>
      </w:divBdr>
    </w:div>
    <w:div w:id="654799151">
      <w:bodyDiv w:val="1"/>
      <w:marLeft w:val="0"/>
      <w:marRight w:val="0"/>
      <w:marTop w:val="0"/>
      <w:marBottom w:val="0"/>
      <w:divBdr>
        <w:top w:val="none" w:sz="0" w:space="0" w:color="auto"/>
        <w:left w:val="none" w:sz="0" w:space="0" w:color="auto"/>
        <w:bottom w:val="none" w:sz="0" w:space="0" w:color="auto"/>
        <w:right w:val="none" w:sz="0" w:space="0" w:color="auto"/>
      </w:divBdr>
    </w:div>
    <w:div w:id="657004775">
      <w:bodyDiv w:val="1"/>
      <w:marLeft w:val="0"/>
      <w:marRight w:val="0"/>
      <w:marTop w:val="0"/>
      <w:marBottom w:val="0"/>
      <w:divBdr>
        <w:top w:val="none" w:sz="0" w:space="0" w:color="auto"/>
        <w:left w:val="none" w:sz="0" w:space="0" w:color="auto"/>
        <w:bottom w:val="none" w:sz="0" w:space="0" w:color="auto"/>
        <w:right w:val="none" w:sz="0" w:space="0" w:color="auto"/>
      </w:divBdr>
    </w:div>
    <w:div w:id="662004260">
      <w:bodyDiv w:val="1"/>
      <w:marLeft w:val="0"/>
      <w:marRight w:val="0"/>
      <w:marTop w:val="0"/>
      <w:marBottom w:val="0"/>
      <w:divBdr>
        <w:top w:val="none" w:sz="0" w:space="0" w:color="auto"/>
        <w:left w:val="none" w:sz="0" w:space="0" w:color="auto"/>
        <w:bottom w:val="none" w:sz="0" w:space="0" w:color="auto"/>
        <w:right w:val="none" w:sz="0" w:space="0" w:color="auto"/>
      </w:divBdr>
    </w:div>
    <w:div w:id="682099047">
      <w:bodyDiv w:val="1"/>
      <w:marLeft w:val="0"/>
      <w:marRight w:val="0"/>
      <w:marTop w:val="0"/>
      <w:marBottom w:val="0"/>
      <w:divBdr>
        <w:top w:val="none" w:sz="0" w:space="0" w:color="auto"/>
        <w:left w:val="none" w:sz="0" w:space="0" w:color="auto"/>
        <w:bottom w:val="none" w:sz="0" w:space="0" w:color="auto"/>
        <w:right w:val="none" w:sz="0" w:space="0" w:color="auto"/>
      </w:divBdr>
    </w:div>
    <w:div w:id="691154994">
      <w:bodyDiv w:val="1"/>
      <w:marLeft w:val="0"/>
      <w:marRight w:val="0"/>
      <w:marTop w:val="0"/>
      <w:marBottom w:val="0"/>
      <w:divBdr>
        <w:top w:val="none" w:sz="0" w:space="0" w:color="auto"/>
        <w:left w:val="none" w:sz="0" w:space="0" w:color="auto"/>
        <w:bottom w:val="none" w:sz="0" w:space="0" w:color="auto"/>
        <w:right w:val="none" w:sz="0" w:space="0" w:color="auto"/>
      </w:divBdr>
    </w:div>
    <w:div w:id="706491786">
      <w:bodyDiv w:val="1"/>
      <w:marLeft w:val="0"/>
      <w:marRight w:val="0"/>
      <w:marTop w:val="0"/>
      <w:marBottom w:val="0"/>
      <w:divBdr>
        <w:top w:val="none" w:sz="0" w:space="0" w:color="auto"/>
        <w:left w:val="none" w:sz="0" w:space="0" w:color="auto"/>
        <w:bottom w:val="none" w:sz="0" w:space="0" w:color="auto"/>
        <w:right w:val="none" w:sz="0" w:space="0" w:color="auto"/>
      </w:divBdr>
    </w:div>
    <w:div w:id="706754806">
      <w:bodyDiv w:val="1"/>
      <w:marLeft w:val="0"/>
      <w:marRight w:val="0"/>
      <w:marTop w:val="0"/>
      <w:marBottom w:val="0"/>
      <w:divBdr>
        <w:top w:val="none" w:sz="0" w:space="0" w:color="auto"/>
        <w:left w:val="none" w:sz="0" w:space="0" w:color="auto"/>
        <w:bottom w:val="none" w:sz="0" w:space="0" w:color="auto"/>
        <w:right w:val="none" w:sz="0" w:space="0" w:color="auto"/>
      </w:divBdr>
    </w:div>
    <w:div w:id="709456323">
      <w:bodyDiv w:val="1"/>
      <w:marLeft w:val="0"/>
      <w:marRight w:val="0"/>
      <w:marTop w:val="0"/>
      <w:marBottom w:val="0"/>
      <w:divBdr>
        <w:top w:val="none" w:sz="0" w:space="0" w:color="auto"/>
        <w:left w:val="none" w:sz="0" w:space="0" w:color="auto"/>
        <w:bottom w:val="none" w:sz="0" w:space="0" w:color="auto"/>
        <w:right w:val="none" w:sz="0" w:space="0" w:color="auto"/>
      </w:divBdr>
    </w:div>
    <w:div w:id="709456524">
      <w:bodyDiv w:val="1"/>
      <w:marLeft w:val="0"/>
      <w:marRight w:val="0"/>
      <w:marTop w:val="0"/>
      <w:marBottom w:val="0"/>
      <w:divBdr>
        <w:top w:val="none" w:sz="0" w:space="0" w:color="auto"/>
        <w:left w:val="none" w:sz="0" w:space="0" w:color="auto"/>
        <w:bottom w:val="none" w:sz="0" w:space="0" w:color="auto"/>
        <w:right w:val="none" w:sz="0" w:space="0" w:color="auto"/>
      </w:divBdr>
    </w:div>
    <w:div w:id="718090769">
      <w:bodyDiv w:val="1"/>
      <w:marLeft w:val="0"/>
      <w:marRight w:val="0"/>
      <w:marTop w:val="0"/>
      <w:marBottom w:val="0"/>
      <w:divBdr>
        <w:top w:val="none" w:sz="0" w:space="0" w:color="auto"/>
        <w:left w:val="none" w:sz="0" w:space="0" w:color="auto"/>
        <w:bottom w:val="none" w:sz="0" w:space="0" w:color="auto"/>
        <w:right w:val="none" w:sz="0" w:space="0" w:color="auto"/>
      </w:divBdr>
    </w:div>
    <w:div w:id="718939511">
      <w:bodyDiv w:val="1"/>
      <w:marLeft w:val="0"/>
      <w:marRight w:val="0"/>
      <w:marTop w:val="0"/>
      <w:marBottom w:val="0"/>
      <w:divBdr>
        <w:top w:val="none" w:sz="0" w:space="0" w:color="auto"/>
        <w:left w:val="none" w:sz="0" w:space="0" w:color="auto"/>
        <w:bottom w:val="none" w:sz="0" w:space="0" w:color="auto"/>
        <w:right w:val="none" w:sz="0" w:space="0" w:color="auto"/>
      </w:divBdr>
    </w:div>
    <w:div w:id="720404447">
      <w:bodyDiv w:val="1"/>
      <w:marLeft w:val="0"/>
      <w:marRight w:val="0"/>
      <w:marTop w:val="0"/>
      <w:marBottom w:val="0"/>
      <w:divBdr>
        <w:top w:val="none" w:sz="0" w:space="0" w:color="auto"/>
        <w:left w:val="none" w:sz="0" w:space="0" w:color="auto"/>
        <w:bottom w:val="none" w:sz="0" w:space="0" w:color="auto"/>
        <w:right w:val="none" w:sz="0" w:space="0" w:color="auto"/>
      </w:divBdr>
    </w:div>
    <w:div w:id="722676708">
      <w:bodyDiv w:val="1"/>
      <w:marLeft w:val="0"/>
      <w:marRight w:val="0"/>
      <w:marTop w:val="0"/>
      <w:marBottom w:val="0"/>
      <w:divBdr>
        <w:top w:val="none" w:sz="0" w:space="0" w:color="auto"/>
        <w:left w:val="none" w:sz="0" w:space="0" w:color="auto"/>
        <w:bottom w:val="none" w:sz="0" w:space="0" w:color="auto"/>
        <w:right w:val="none" w:sz="0" w:space="0" w:color="auto"/>
      </w:divBdr>
    </w:div>
    <w:div w:id="726417700">
      <w:bodyDiv w:val="1"/>
      <w:marLeft w:val="0"/>
      <w:marRight w:val="0"/>
      <w:marTop w:val="0"/>
      <w:marBottom w:val="0"/>
      <w:divBdr>
        <w:top w:val="none" w:sz="0" w:space="0" w:color="auto"/>
        <w:left w:val="none" w:sz="0" w:space="0" w:color="auto"/>
        <w:bottom w:val="none" w:sz="0" w:space="0" w:color="auto"/>
        <w:right w:val="none" w:sz="0" w:space="0" w:color="auto"/>
      </w:divBdr>
    </w:div>
    <w:div w:id="742068189">
      <w:bodyDiv w:val="1"/>
      <w:marLeft w:val="0"/>
      <w:marRight w:val="0"/>
      <w:marTop w:val="0"/>
      <w:marBottom w:val="0"/>
      <w:divBdr>
        <w:top w:val="none" w:sz="0" w:space="0" w:color="auto"/>
        <w:left w:val="none" w:sz="0" w:space="0" w:color="auto"/>
        <w:bottom w:val="none" w:sz="0" w:space="0" w:color="auto"/>
        <w:right w:val="none" w:sz="0" w:space="0" w:color="auto"/>
      </w:divBdr>
    </w:div>
    <w:div w:id="762457021">
      <w:bodyDiv w:val="1"/>
      <w:marLeft w:val="0"/>
      <w:marRight w:val="0"/>
      <w:marTop w:val="0"/>
      <w:marBottom w:val="0"/>
      <w:divBdr>
        <w:top w:val="none" w:sz="0" w:space="0" w:color="auto"/>
        <w:left w:val="none" w:sz="0" w:space="0" w:color="auto"/>
        <w:bottom w:val="none" w:sz="0" w:space="0" w:color="auto"/>
        <w:right w:val="none" w:sz="0" w:space="0" w:color="auto"/>
      </w:divBdr>
    </w:div>
    <w:div w:id="764808953">
      <w:bodyDiv w:val="1"/>
      <w:marLeft w:val="0"/>
      <w:marRight w:val="0"/>
      <w:marTop w:val="0"/>
      <w:marBottom w:val="0"/>
      <w:divBdr>
        <w:top w:val="none" w:sz="0" w:space="0" w:color="auto"/>
        <w:left w:val="none" w:sz="0" w:space="0" w:color="auto"/>
        <w:bottom w:val="none" w:sz="0" w:space="0" w:color="auto"/>
        <w:right w:val="none" w:sz="0" w:space="0" w:color="auto"/>
      </w:divBdr>
    </w:div>
    <w:div w:id="773324967">
      <w:bodyDiv w:val="1"/>
      <w:marLeft w:val="0"/>
      <w:marRight w:val="0"/>
      <w:marTop w:val="0"/>
      <w:marBottom w:val="0"/>
      <w:divBdr>
        <w:top w:val="none" w:sz="0" w:space="0" w:color="auto"/>
        <w:left w:val="none" w:sz="0" w:space="0" w:color="auto"/>
        <w:bottom w:val="none" w:sz="0" w:space="0" w:color="auto"/>
        <w:right w:val="none" w:sz="0" w:space="0" w:color="auto"/>
      </w:divBdr>
    </w:div>
    <w:div w:id="782648352">
      <w:bodyDiv w:val="1"/>
      <w:marLeft w:val="0"/>
      <w:marRight w:val="0"/>
      <w:marTop w:val="0"/>
      <w:marBottom w:val="0"/>
      <w:divBdr>
        <w:top w:val="none" w:sz="0" w:space="0" w:color="auto"/>
        <w:left w:val="none" w:sz="0" w:space="0" w:color="auto"/>
        <w:bottom w:val="none" w:sz="0" w:space="0" w:color="auto"/>
        <w:right w:val="none" w:sz="0" w:space="0" w:color="auto"/>
      </w:divBdr>
    </w:div>
    <w:div w:id="790441113">
      <w:bodyDiv w:val="1"/>
      <w:marLeft w:val="0"/>
      <w:marRight w:val="0"/>
      <w:marTop w:val="0"/>
      <w:marBottom w:val="0"/>
      <w:divBdr>
        <w:top w:val="none" w:sz="0" w:space="0" w:color="auto"/>
        <w:left w:val="none" w:sz="0" w:space="0" w:color="auto"/>
        <w:bottom w:val="none" w:sz="0" w:space="0" w:color="auto"/>
        <w:right w:val="none" w:sz="0" w:space="0" w:color="auto"/>
      </w:divBdr>
    </w:div>
    <w:div w:id="791293225">
      <w:bodyDiv w:val="1"/>
      <w:marLeft w:val="0"/>
      <w:marRight w:val="0"/>
      <w:marTop w:val="0"/>
      <w:marBottom w:val="0"/>
      <w:divBdr>
        <w:top w:val="none" w:sz="0" w:space="0" w:color="auto"/>
        <w:left w:val="none" w:sz="0" w:space="0" w:color="auto"/>
        <w:bottom w:val="none" w:sz="0" w:space="0" w:color="auto"/>
        <w:right w:val="none" w:sz="0" w:space="0" w:color="auto"/>
      </w:divBdr>
    </w:div>
    <w:div w:id="791435991">
      <w:bodyDiv w:val="1"/>
      <w:marLeft w:val="0"/>
      <w:marRight w:val="0"/>
      <w:marTop w:val="0"/>
      <w:marBottom w:val="0"/>
      <w:divBdr>
        <w:top w:val="none" w:sz="0" w:space="0" w:color="auto"/>
        <w:left w:val="none" w:sz="0" w:space="0" w:color="auto"/>
        <w:bottom w:val="none" w:sz="0" w:space="0" w:color="auto"/>
        <w:right w:val="none" w:sz="0" w:space="0" w:color="auto"/>
      </w:divBdr>
    </w:div>
    <w:div w:id="809399487">
      <w:bodyDiv w:val="1"/>
      <w:marLeft w:val="0"/>
      <w:marRight w:val="0"/>
      <w:marTop w:val="0"/>
      <w:marBottom w:val="0"/>
      <w:divBdr>
        <w:top w:val="none" w:sz="0" w:space="0" w:color="auto"/>
        <w:left w:val="none" w:sz="0" w:space="0" w:color="auto"/>
        <w:bottom w:val="none" w:sz="0" w:space="0" w:color="auto"/>
        <w:right w:val="none" w:sz="0" w:space="0" w:color="auto"/>
      </w:divBdr>
    </w:div>
    <w:div w:id="810487217">
      <w:bodyDiv w:val="1"/>
      <w:marLeft w:val="0"/>
      <w:marRight w:val="0"/>
      <w:marTop w:val="0"/>
      <w:marBottom w:val="0"/>
      <w:divBdr>
        <w:top w:val="none" w:sz="0" w:space="0" w:color="auto"/>
        <w:left w:val="none" w:sz="0" w:space="0" w:color="auto"/>
        <w:bottom w:val="none" w:sz="0" w:space="0" w:color="auto"/>
        <w:right w:val="none" w:sz="0" w:space="0" w:color="auto"/>
      </w:divBdr>
    </w:div>
    <w:div w:id="821891389">
      <w:bodyDiv w:val="1"/>
      <w:marLeft w:val="0"/>
      <w:marRight w:val="0"/>
      <w:marTop w:val="0"/>
      <w:marBottom w:val="0"/>
      <w:divBdr>
        <w:top w:val="none" w:sz="0" w:space="0" w:color="auto"/>
        <w:left w:val="none" w:sz="0" w:space="0" w:color="auto"/>
        <w:bottom w:val="none" w:sz="0" w:space="0" w:color="auto"/>
        <w:right w:val="none" w:sz="0" w:space="0" w:color="auto"/>
      </w:divBdr>
    </w:div>
    <w:div w:id="826551314">
      <w:bodyDiv w:val="1"/>
      <w:marLeft w:val="0"/>
      <w:marRight w:val="0"/>
      <w:marTop w:val="0"/>
      <w:marBottom w:val="0"/>
      <w:divBdr>
        <w:top w:val="none" w:sz="0" w:space="0" w:color="auto"/>
        <w:left w:val="none" w:sz="0" w:space="0" w:color="auto"/>
        <w:bottom w:val="none" w:sz="0" w:space="0" w:color="auto"/>
        <w:right w:val="none" w:sz="0" w:space="0" w:color="auto"/>
      </w:divBdr>
    </w:div>
    <w:div w:id="835149579">
      <w:bodyDiv w:val="1"/>
      <w:marLeft w:val="0"/>
      <w:marRight w:val="0"/>
      <w:marTop w:val="0"/>
      <w:marBottom w:val="0"/>
      <w:divBdr>
        <w:top w:val="none" w:sz="0" w:space="0" w:color="auto"/>
        <w:left w:val="none" w:sz="0" w:space="0" w:color="auto"/>
        <w:bottom w:val="none" w:sz="0" w:space="0" w:color="auto"/>
        <w:right w:val="none" w:sz="0" w:space="0" w:color="auto"/>
      </w:divBdr>
    </w:div>
    <w:div w:id="856382140">
      <w:bodyDiv w:val="1"/>
      <w:marLeft w:val="0"/>
      <w:marRight w:val="0"/>
      <w:marTop w:val="0"/>
      <w:marBottom w:val="0"/>
      <w:divBdr>
        <w:top w:val="none" w:sz="0" w:space="0" w:color="auto"/>
        <w:left w:val="none" w:sz="0" w:space="0" w:color="auto"/>
        <w:bottom w:val="none" w:sz="0" w:space="0" w:color="auto"/>
        <w:right w:val="none" w:sz="0" w:space="0" w:color="auto"/>
      </w:divBdr>
    </w:div>
    <w:div w:id="860362883">
      <w:bodyDiv w:val="1"/>
      <w:marLeft w:val="0"/>
      <w:marRight w:val="0"/>
      <w:marTop w:val="0"/>
      <w:marBottom w:val="0"/>
      <w:divBdr>
        <w:top w:val="none" w:sz="0" w:space="0" w:color="auto"/>
        <w:left w:val="none" w:sz="0" w:space="0" w:color="auto"/>
        <w:bottom w:val="none" w:sz="0" w:space="0" w:color="auto"/>
        <w:right w:val="none" w:sz="0" w:space="0" w:color="auto"/>
      </w:divBdr>
    </w:div>
    <w:div w:id="860818407">
      <w:bodyDiv w:val="1"/>
      <w:marLeft w:val="0"/>
      <w:marRight w:val="0"/>
      <w:marTop w:val="0"/>
      <w:marBottom w:val="0"/>
      <w:divBdr>
        <w:top w:val="none" w:sz="0" w:space="0" w:color="auto"/>
        <w:left w:val="none" w:sz="0" w:space="0" w:color="auto"/>
        <w:bottom w:val="none" w:sz="0" w:space="0" w:color="auto"/>
        <w:right w:val="none" w:sz="0" w:space="0" w:color="auto"/>
      </w:divBdr>
    </w:div>
    <w:div w:id="873035490">
      <w:bodyDiv w:val="1"/>
      <w:marLeft w:val="0"/>
      <w:marRight w:val="0"/>
      <w:marTop w:val="0"/>
      <w:marBottom w:val="0"/>
      <w:divBdr>
        <w:top w:val="none" w:sz="0" w:space="0" w:color="auto"/>
        <w:left w:val="none" w:sz="0" w:space="0" w:color="auto"/>
        <w:bottom w:val="none" w:sz="0" w:space="0" w:color="auto"/>
        <w:right w:val="none" w:sz="0" w:space="0" w:color="auto"/>
      </w:divBdr>
    </w:div>
    <w:div w:id="873738689">
      <w:bodyDiv w:val="1"/>
      <w:marLeft w:val="0"/>
      <w:marRight w:val="0"/>
      <w:marTop w:val="0"/>
      <w:marBottom w:val="0"/>
      <w:divBdr>
        <w:top w:val="none" w:sz="0" w:space="0" w:color="auto"/>
        <w:left w:val="none" w:sz="0" w:space="0" w:color="auto"/>
        <w:bottom w:val="none" w:sz="0" w:space="0" w:color="auto"/>
        <w:right w:val="none" w:sz="0" w:space="0" w:color="auto"/>
      </w:divBdr>
    </w:div>
    <w:div w:id="881019354">
      <w:bodyDiv w:val="1"/>
      <w:marLeft w:val="0"/>
      <w:marRight w:val="0"/>
      <w:marTop w:val="0"/>
      <w:marBottom w:val="0"/>
      <w:divBdr>
        <w:top w:val="none" w:sz="0" w:space="0" w:color="auto"/>
        <w:left w:val="none" w:sz="0" w:space="0" w:color="auto"/>
        <w:bottom w:val="none" w:sz="0" w:space="0" w:color="auto"/>
        <w:right w:val="none" w:sz="0" w:space="0" w:color="auto"/>
      </w:divBdr>
    </w:div>
    <w:div w:id="884605425">
      <w:bodyDiv w:val="1"/>
      <w:marLeft w:val="0"/>
      <w:marRight w:val="0"/>
      <w:marTop w:val="0"/>
      <w:marBottom w:val="0"/>
      <w:divBdr>
        <w:top w:val="none" w:sz="0" w:space="0" w:color="auto"/>
        <w:left w:val="none" w:sz="0" w:space="0" w:color="auto"/>
        <w:bottom w:val="none" w:sz="0" w:space="0" w:color="auto"/>
        <w:right w:val="none" w:sz="0" w:space="0" w:color="auto"/>
      </w:divBdr>
    </w:div>
    <w:div w:id="888688565">
      <w:bodyDiv w:val="1"/>
      <w:marLeft w:val="0"/>
      <w:marRight w:val="0"/>
      <w:marTop w:val="0"/>
      <w:marBottom w:val="0"/>
      <w:divBdr>
        <w:top w:val="none" w:sz="0" w:space="0" w:color="auto"/>
        <w:left w:val="none" w:sz="0" w:space="0" w:color="auto"/>
        <w:bottom w:val="none" w:sz="0" w:space="0" w:color="auto"/>
        <w:right w:val="none" w:sz="0" w:space="0" w:color="auto"/>
      </w:divBdr>
    </w:div>
    <w:div w:id="890507105">
      <w:bodyDiv w:val="1"/>
      <w:marLeft w:val="0"/>
      <w:marRight w:val="0"/>
      <w:marTop w:val="0"/>
      <w:marBottom w:val="0"/>
      <w:divBdr>
        <w:top w:val="none" w:sz="0" w:space="0" w:color="auto"/>
        <w:left w:val="none" w:sz="0" w:space="0" w:color="auto"/>
        <w:bottom w:val="none" w:sz="0" w:space="0" w:color="auto"/>
        <w:right w:val="none" w:sz="0" w:space="0" w:color="auto"/>
      </w:divBdr>
    </w:div>
    <w:div w:id="891771094">
      <w:bodyDiv w:val="1"/>
      <w:marLeft w:val="0"/>
      <w:marRight w:val="0"/>
      <w:marTop w:val="0"/>
      <w:marBottom w:val="0"/>
      <w:divBdr>
        <w:top w:val="none" w:sz="0" w:space="0" w:color="auto"/>
        <w:left w:val="none" w:sz="0" w:space="0" w:color="auto"/>
        <w:bottom w:val="none" w:sz="0" w:space="0" w:color="auto"/>
        <w:right w:val="none" w:sz="0" w:space="0" w:color="auto"/>
      </w:divBdr>
    </w:div>
    <w:div w:id="899172758">
      <w:bodyDiv w:val="1"/>
      <w:marLeft w:val="0"/>
      <w:marRight w:val="0"/>
      <w:marTop w:val="0"/>
      <w:marBottom w:val="0"/>
      <w:divBdr>
        <w:top w:val="none" w:sz="0" w:space="0" w:color="auto"/>
        <w:left w:val="none" w:sz="0" w:space="0" w:color="auto"/>
        <w:bottom w:val="none" w:sz="0" w:space="0" w:color="auto"/>
        <w:right w:val="none" w:sz="0" w:space="0" w:color="auto"/>
      </w:divBdr>
    </w:div>
    <w:div w:id="910702969">
      <w:bodyDiv w:val="1"/>
      <w:marLeft w:val="0"/>
      <w:marRight w:val="0"/>
      <w:marTop w:val="0"/>
      <w:marBottom w:val="0"/>
      <w:divBdr>
        <w:top w:val="none" w:sz="0" w:space="0" w:color="auto"/>
        <w:left w:val="none" w:sz="0" w:space="0" w:color="auto"/>
        <w:bottom w:val="none" w:sz="0" w:space="0" w:color="auto"/>
        <w:right w:val="none" w:sz="0" w:space="0" w:color="auto"/>
      </w:divBdr>
    </w:div>
    <w:div w:id="911431478">
      <w:bodyDiv w:val="1"/>
      <w:marLeft w:val="0"/>
      <w:marRight w:val="0"/>
      <w:marTop w:val="0"/>
      <w:marBottom w:val="0"/>
      <w:divBdr>
        <w:top w:val="none" w:sz="0" w:space="0" w:color="auto"/>
        <w:left w:val="none" w:sz="0" w:space="0" w:color="auto"/>
        <w:bottom w:val="none" w:sz="0" w:space="0" w:color="auto"/>
        <w:right w:val="none" w:sz="0" w:space="0" w:color="auto"/>
      </w:divBdr>
    </w:div>
    <w:div w:id="919874371">
      <w:bodyDiv w:val="1"/>
      <w:marLeft w:val="0"/>
      <w:marRight w:val="0"/>
      <w:marTop w:val="0"/>
      <w:marBottom w:val="0"/>
      <w:divBdr>
        <w:top w:val="none" w:sz="0" w:space="0" w:color="auto"/>
        <w:left w:val="none" w:sz="0" w:space="0" w:color="auto"/>
        <w:bottom w:val="none" w:sz="0" w:space="0" w:color="auto"/>
        <w:right w:val="none" w:sz="0" w:space="0" w:color="auto"/>
      </w:divBdr>
    </w:div>
    <w:div w:id="933975065">
      <w:bodyDiv w:val="1"/>
      <w:marLeft w:val="0"/>
      <w:marRight w:val="0"/>
      <w:marTop w:val="0"/>
      <w:marBottom w:val="0"/>
      <w:divBdr>
        <w:top w:val="none" w:sz="0" w:space="0" w:color="auto"/>
        <w:left w:val="none" w:sz="0" w:space="0" w:color="auto"/>
        <w:bottom w:val="none" w:sz="0" w:space="0" w:color="auto"/>
        <w:right w:val="none" w:sz="0" w:space="0" w:color="auto"/>
      </w:divBdr>
    </w:div>
    <w:div w:id="947665342">
      <w:bodyDiv w:val="1"/>
      <w:marLeft w:val="0"/>
      <w:marRight w:val="0"/>
      <w:marTop w:val="0"/>
      <w:marBottom w:val="0"/>
      <w:divBdr>
        <w:top w:val="none" w:sz="0" w:space="0" w:color="auto"/>
        <w:left w:val="none" w:sz="0" w:space="0" w:color="auto"/>
        <w:bottom w:val="none" w:sz="0" w:space="0" w:color="auto"/>
        <w:right w:val="none" w:sz="0" w:space="0" w:color="auto"/>
      </w:divBdr>
    </w:div>
    <w:div w:id="948201156">
      <w:bodyDiv w:val="1"/>
      <w:marLeft w:val="0"/>
      <w:marRight w:val="0"/>
      <w:marTop w:val="0"/>
      <w:marBottom w:val="0"/>
      <w:divBdr>
        <w:top w:val="none" w:sz="0" w:space="0" w:color="auto"/>
        <w:left w:val="none" w:sz="0" w:space="0" w:color="auto"/>
        <w:bottom w:val="none" w:sz="0" w:space="0" w:color="auto"/>
        <w:right w:val="none" w:sz="0" w:space="0" w:color="auto"/>
      </w:divBdr>
    </w:div>
    <w:div w:id="961569740">
      <w:bodyDiv w:val="1"/>
      <w:marLeft w:val="0"/>
      <w:marRight w:val="0"/>
      <w:marTop w:val="0"/>
      <w:marBottom w:val="0"/>
      <w:divBdr>
        <w:top w:val="none" w:sz="0" w:space="0" w:color="auto"/>
        <w:left w:val="none" w:sz="0" w:space="0" w:color="auto"/>
        <w:bottom w:val="none" w:sz="0" w:space="0" w:color="auto"/>
        <w:right w:val="none" w:sz="0" w:space="0" w:color="auto"/>
      </w:divBdr>
    </w:div>
    <w:div w:id="963458823">
      <w:bodyDiv w:val="1"/>
      <w:marLeft w:val="0"/>
      <w:marRight w:val="0"/>
      <w:marTop w:val="0"/>
      <w:marBottom w:val="0"/>
      <w:divBdr>
        <w:top w:val="none" w:sz="0" w:space="0" w:color="auto"/>
        <w:left w:val="none" w:sz="0" w:space="0" w:color="auto"/>
        <w:bottom w:val="none" w:sz="0" w:space="0" w:color="auto"/>
        <w:right w:val="none" w:sz="0" w:space="0" w:color="auto"/>
      </w:divBdr>
    </w:div>
    <w:div w:id="963729128">
      <w:bodyDiv w:val="1"/>
      <w:marLeft w:val="0"/>
      <w:marRight w:val="0"/>
      <w:marTop w:val="0"/>
      <w:marBottom w:val="0"/>
      <w:divBdr>
        <w:top w:val="none" w:sz="0" w:space="0" w:color="auto"/>
        <w:left w:val="none" w:sz="0" w:space="0" w:color="auto"/>
        <w:bottom w:val="none" w:sz="0" w:space="0" w:color="auto"/>
        <w:right w:val="none" w:sz="0" w:space="0" w:color="auto"/>
      </w:divBdr>
    </w:div>
    <w:div w:id="967124126">
      <w:bodyDiv w:val="1"/>
      <w:marLeft w:val="0"/>
      <w:marRight w:val="0"/>
      <w:marTop w:val="0"/>
      <w:marBottom w:val="0"/>
      <w:divBdr>
        <w:top w:val="none" w:sz="0" w:space="0" w:color="auto"/>
        <w:left w:val="none" w:sz="0" w:space="0" w:color="auto"/>
        <w:bottom w:val="none" w:sz="0" w:space="0" w:color="auto"/>
        <w:right w:val="none" w:sz="0" w:space="0" w:color="auto"/>
      </w:divBdr>
    </w:div>
    <w:div w:id="970788232">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517448">
      <w:bodyDiv w:val="1"/>
      <w:marLeft w:val="0"/>
      <w:marRight w:val="0"/>
      <w:marTop w:val="0"/>
      <w:marBottom w:val="0"/>
      <w:divBdr>
        <w:top w:val="none" w:sz="0" w:space="0" w:color="auto"/>
        <w:left w:val="none" w:sz="0" w:space="0" w:color="auto"/>
        <w:bottom w:val="none" w:sz="0" w:space="0" w:color="auto"/>
        <w:right w:val="none" w:sz="0" w:space="0" w:color="auto"/>
      </w:divBdr>
    </w:div>
    <w:div w:id="987057265">
      <w:bodyDiv w:val="1"/>
      <w:marLeft w:val="0"/>
      <w:marRight w:val="0"/>
      <w:marTop w:val="0"/>
      <w:marBottom w:val="0"/>
      <w:divBdr>
        <w:top w:val="none" w:sz="0" w:space="0" w:color="auto"/>
        <w:left w:val="none" w:sz="0" w:space="0" w:color="auto"/>
        <w:bottom w:val="none" w:sz="0" w:space="0" w:color="auto"/>
        <w:right w:val="none" w:sz="0" w:space="0" w:color="auto"/>
      </w:divBdr>
    </w:div>
    <w:div w:id="987825410">
      <w:bodyDiv w:val="1"/>
      <w:marLeft w:val="0"/>
      <w:marRight w:val="0"/>
      <w:marTop w:val="0"/>
      <w:marBottom w:val="0"/>
      <w:divBdr>
        <w:top w:val="none" w:sz="0" w:space="0" w:color="auto"/>
        <w:left w:val="none" w:sz="0" w:space="0" w:color="auto"/>
        <w:bottom w:val="none" w:sz="0" w:space="0" w:color="auto"/>
        <w:right w:val="none" w:sz="0" w:space="0" w:color="auto"/>
      </w:divBdr>
    </w:div>
    <w:div w:id="995451987">
      <w:bodyDiv w:val="1"/>
      <w:marLeft w:val="0"/>
      <w:marRight w:val="0"/>
      <w:marTop w:val="0"/>
      <w:marBottom w:val="0"/>
      <w:divBdr>
        <w:top w:val="none" w:sz="0" w:space="0" w:color="auto"/>
        <w:left w:val="none" w:sz="0" w:space="0" w:color="auto"/>
        <w:bottom w:val="none" w:sz="0" w:space="0" w:color="auto"/>
        <w:right w:val="none" w:sz="0" w:space="0" w:color="auto"/>
      </w:divBdr>
    </w:div>
    <w:div w:id="1016687004">
      <w:bodyDiv w:val="1"/>
      <w:marLeft w:val="0"/>
      <w:marRight w:val="0"/>
      <w:marTop w:val="0"/>
      <w:marBottom w:val="0"/>
      <w:divBdr>
        <w:top w:val="none" w:sz="0" w:space="0" w:color="auto"/>
        <w:left w:val="none" w:sz="0" w:space="0" w:color="auto"/>
        <w:bottom w:val="none" w:sz="0" w:space="0" w:color="auto"/>
        <w:right w:val="none" w:sz="0" w:space="0" w:color="auto"/>
      </w:divBdr>
    </w:div>
    <w:div w:id="1020741277">
      <w:bodyDiv w:val="1"/>
      <w:marLeft w:val="0"/>
      <w:marRight w:val="0"/>
      <w:marTop w:val="0"/>
      <w:marBottom w:val="0"/>
      <w:divBdr>
        <w:top w:val="none" w:sz="0" w:space="0" w:color="auto"/>
        <w:left w:val="none" w:sz="0" w:space="0" w:color="auto"/>
        <w:bottom w:val="none" w:sz="0" w:space="0" w:color="auto"/>
        <w:right w:val="none" w:sz="0" w:space="0" w:color="auto"/>
      </w:divBdr>
    </w:div>
    <w:div w:id="1023165786">
      <w:bodyDiv w:val="1"/>
      <w:marLeft w:val="0"/>
      <w:marRight w:val="0"/>
      <w:marTop w:val="0"/>
      <w:marBottom w:val="0"/>
      <w:divBdr>
        <w:top w:val="none" w:sz="0" w:space="0" w:color="auto"/>
        <w:left w:val="none" w:sz="0" w:space="0" w:color="auto"/>
        <w:bottom w:val="none" w:sz="0" w:space="0" w:color="auto"/>
        <w:right w:val="none" w:sz="0" w:space="0" w:color="auto"/>
      </w:divBdr>
    </w:div>
    <w:div w:id="1029798824">
      <w:bodyDiv w:val="1"/>
      <w:marLeft w:val="0"/>
      <w:marRight w:val="0"/>
      <w:marTop w:val="0"/>
      <w:marBottom w:val="0"/>
      <w:divBdr>
        <w:top w:val="none" w:sz="0" w:space="0" w:color="auto"/>
        <w:left w:val="none" w:sz="0" w:space="0" w:color="auto"/>
        <w:bottom w:val="none" w:sz="0" w:space="0" w:color="auto"/>
        <w:right w:val="none" w:sz="0" w:space="0" w:color="auto"/>
      </w:divBdr>
    </w:div>
    <w:div w:id="1030372409">
      <w:bodyDiv w:val="1"/>
      <w:marLeft w:val="0"/>
      <w:marRight w:val="0"/>
      <w:marTop w:val="0"/>
      <w:marBottom w:val="0"/>
      <w:divBdr>
        <w:top w:val="none" w:sz="0" w:space="0" w:color="auto"/>
        <w:left w:val="none" w:sz="0" w:space="0" w:color="auto"/>
        <w:bottom w:val="none" w:sz="0" w:space="0" w:color="auto"/>
        <w:right w:val="none" w:sz="0" w:space="0" w:color="auto"/>
      </w:divBdr>
    </w:div>
    <w:div w:id="1032456786">
      <w:bodyDiv w:val="1"/>
      <w:marLeft w:val="0"/>
      <w:marRight w:val="0"/>
      <w:marTop w:val="0"/>
      <w:marBottom w:val="0"/>
      <w:divBdr>
        <w:top w:val="none" w:sz="0" w:space="0" w:color="auto"/>
        <w:left w:val="none" w:sz="0" w:space="0" w:color="auto"/>
        <w:bottom w:val="none" w:sz="0" w:space="0" w:color="auto"/>
        <w:right w:val="none" w:sz="0" w:space="0" w:color="auto"/>
      </w:divBdr>
    </w:div>
    <w:div w:id="1032920980">
      <w:bodyDiv w:val="1"/>
      <w:marLeft w:val="0"/>
      <w:marRight w:val="0"/>
      <w:marTop w:val="0"/>
      <w:marBottom w:val="0"/>
      <w:divBdr>
        <w:top w:val="none" w:sz="0" w:space="0" w:color="auto"/>
        <w:left w:val="none" w:sz="0" w:space="0" w:color="auto"/>
        <w:bottom w:val="none" w:sz="0" w:space="0" w:color="auto"/>
        <w:right w:val="none" w:sz="0" w:space="0" w:color="auto"/>
      </w:divBdr>
    </w:div>
    <w:div w:id="1033724953">
      <w:bodyDiv w:val="1"/>
      <w:marLeft w:val="0"/>
      <w:marRight w:val="0"/>
      <w:marTop w:val="0"/>
      <w:marBottom w:val="0"/>
      <w:divBdr>
        <w:top w:val="none" w:sz="0" w:space="0" w:color="auto"/>
        <w:left w:val="none" w:sz="0" w:space="0" w:color="auto"/>
        <w:bottom w:val="none" w:sz="0" w:space="0" w:color="auto"/>
        <w:right w:val="none" w:sz="0" w:space="0" w:color="auto"/>
      </w:divBdr>
    </w:div>
    <w:div w:id="1043941446">
      <w:bodyDiv w:val="1"/>
      <w:marLeft w:val="0"/>
      <w:marRight w:val="0"/>
      <w:marTop w:val="0"/>
      <w:marBottom w:val="0"/>
      <w:divBdr>
        <w:top w:val="none" w:sz="0" w:space="0" w:color="auto"/>
        <w:left w:val="none" w:sz="0" w:space="0" w:color="auto"/>
        <w:bottom w:val="none" w:sz="0" w:space="0" w:color="auto"/>
        <w:right w:val="none" w:sz="0" w:space="0" w:color="auto"/>
      </w:divBdr>
    </w:div>
    <w:div w:id="1053775703">
      <w:bodyDiv w:val="1"/>
      <w:marLeft w:val="0"/>
      <w:marRight w:val="0"/>
      <w:marTop w:val="0"/>
      <w:marBottom w:val="0"/>
      <w:divBdr>
        <w:top w:val="none" w:sz="0" w:space="0" w:color="auto"/>
        <w:left w:val="none" w:sz="0" w:space="0" w:color="auto"/>
        <w:bottom w:val="none" w:sz="0" w:space="0" w:color="auto"/>
        <w:right w:val="none" w:sz="0" w:space="0" w:color="auto"/>
      </w:divBdr>
    </w:div>
    <w:div w:id="1055548077">
      <w:bodyDiv w:val="1"/>
      <w:marLeft w:val="0"/>
      <w:marRight w:val="0"/>
      <w:marTop w:val="0"/>
      <w:marBottom w:val="0"/>
      <w:divBdr>
        <w:top w:val="none" w:sz="0" w:space="0" w:color="auto"/>
        <w:left w:val="none" w:sz="0" w:space="0" w:color="auto"/>
        <w:bottom w:val="none" w:sz="0" w:space="0" w:color="auto"/>
        <w:right w:val="none" w:sz="0" w:space="0" w:color="auto"/>
      </w:divBdr>
    </w:div>
    <w:div w:id="1061825559">
      <w:bodyDiv w:val="1"/>
      <w:marLeft w:val="0"/>
      <w:marRight w:val="0"/>
      <w:marTop w:val="0"/>
      <w:marBottom w:val="0"/>
      <w:divBdr>
        <w:top w:val="none" w:sz="0" w:space="0" w:color="auto"/>
        <w:left w:val="none" w:sz="0" w:space="0" w:color="auto"/>
        <w:bottom w:val="none" w:sz="0" w:space="0" w:color="auto"/>
        <w:right w:val="none" w:sz="0" w:space="0" w:color="auto"/>
      </w:divBdr>
    </w:div>
    <w:div w:id="1065681766">
      <w:bodyDiv w:val="1"/>
      <w:marLeft w:val="0"/>
      <w:marRight w:val="0"/>
      <w:marTop w:val="0"/>
      <w:marBottom w:val="0"/>
      <w:divBdr>
        <w:top w:val="none" w:sz="0" w:space="0" w:color="auto"/>
        <w:left w:val="none" w:sz="0" w:space="0" w:color="auto"/>
        <w:bottom w:val="none" w:sz="0" w:space="0" w:color="auto"/>
        <w:right w:val="none" w:sz="0" w:space="0" w:color="auto"/>
      </w:divBdr>
    </w:div>
    <w:div w:id="1067727345">
      <w:bodyDiv w:val="1"/>
      <w:marLeft w:val="0"/>
      <w:marRight w:val="0"/>
      <w:marTop w:val="0"/>
      <w:marBottom w:val="0"/>
      <w:divBdr>
        <w:top w:val="none" w:sz="0" w:space="0" w:color="auto"/>
        <w:left w:val="none" w:sz="0" w:space="0" w:color="auto"/>
        <w:bottom w:val="none" w:sz="0" w:space="0" w:color="auto"/>
        <w:right w:val="none" w:sz="0" w:space="0" w:color="auto"/>
      </w:divBdr>
    </w:div>
    <w:div w:id="1073821035">
      <w:bodyDiv w:val="1"/>
      <w:marLeft w:val="0"/>
      <w:marRight w:val="0"/>
      <w:marTop w:val="0"/>
      <w:marBottom w:val="0"/>
      <w:divBdr>
        <w:top w:val="none" w:sz="0" w:space="0" w:color="auto"/>
        <w:left w:val="none" w:sz="0" w:space="0" w:color="auto"/>
        <w:bottom w:val="none" w:sz="0" w:space="0" w:color="auto"/>
        <w:right w:val="none" w:sz="0" w:space="0" w:color="auto"/>
      </w:divBdr>
    </w:div>
    <w:div w:id="1079868969">
      <w:bodyDiv w:val="1"/>
      <w:marLeft w:val="0"/>
      <w:marRight w:val="0"/>
      <w:marTop w:val="0"/>
      <w:marBottom w:val="0"/>
      <w:divBdr>
        <w:top w:val="none" w:sz="0" w:space="0" w:color="auto"/>
        <w:left w:val="none" w:sz="0" w:space="0" w:color="auto"/>
        <w:bottom w:val="none" w:sz="0" w:space="0" w:color="auto"/>
        <w:right w:val="none" w:sz="0" w:space="0" w:color="auto"/>
      </w:divBdr>
    </w:div>
    <w:div w:id="1086614378">
      <w:bodyDiv w:val="1"/>
      <w:marLeft w:val="0"/>
      <w:marRight w:val="0"/>
      <w:marTop w:val="0"/>
      <w:marBottom w:val="0"/>
      <w:divBdr>
        <w:top w:val="none" w:sz="0" w:space="0" w:color="auto"/>
        <w:left w:val="none" w:sz="0" w:space="0" w:color="auto"/>
        <w:bottom w:val="none" w:sz="0" w:space="0" w:color="auto"/>
        <w:right w:val="none" w:sz="0" w:space="0" w:color="auto"/>
      </w:divBdr>
    </w:div>
    <w:div w:id="1088385726">
      <w:bodyDiv w:val="1"/>
      <w:marLeft w:val="0"/>
      <w:marRight w:val="0"/>
      <w:marTop w:val="0"/>
      <w:marBottom w:val="0"/>
      <w:divBdr>
        <w:top w:val="none" w:sz="0" w:space="0" w:color="auto"/>
        <w:left w:val="none" w:sz="0" w:space="0" w:color="auto"/>
        <w:bottom w:val="none" w:sz="0" w:space="0" w:color="auto"/>
        <w:right w:val="none" w:sz="0" w:space="0" w:color="auto"/>
      </w:divBdr>
    </w:div>
    <w:div w:id="1090393107">
      <w:bodyDiv w:val="1"/>
      <w:marLeft w:val="0"/>
      <w:marRight w:val="0"/>
      <w:marTop w:val="0"/>
      <w:marBottom w:val="0"/>
      <w:divBdr>
        <w:top w:val="none" w:sz="0" w:space="0" w:color="auto"/>
        <w:left w:val="none" w:sz="0" w:space="0" w:color="auto"/>
        <w:bottom w:val="none" w:sz="0" w:space="0" w:color="auto"/>
        <w:right w:val="none" w:sz="0" w:space="0" w:color="auto"/>
      </w:divBdr>
    </w:div>
    <w:div w:id="1099105578">
      <w:bodyDiv w:val="1"/>
      <w:marLeft w:val="0"/>
      <w:marRight w:val="0"/>
      <w:marTop w:val="0"/>
      <w:marBottom w:val="0"/>
      <w:divBdr>
        <w:top w:val="none" w:sz="0" w:space="0" w:color="auto"/>
        <w:left w:val="none" w:sz="0" w:space="0" w:color="auto"/>
        <w:bottom w:val="none" w:sz="0" w:space="0" w:color="auto"/>
        <w:right w:val="none" w:sz="0" w:space="0" w:color="auto"/>
      </w:divBdr>
    </w:div>
    <w:div w:id="1099526431">
      <w:bodyDiv w:val="1"/>
      <w:marLeft w:val="0"/>
      <w:marRight w:val="0"/>
      <w:marTop w:val="0"/>
      <w:marBottom w:val="0"/>
      <w:divBdr>
        <w:top w:val="none" w:sz="0" w:space="0" w:color="auto"/>
        <w:left w:val="none" w:sz="0" w:space="0" w:color="auto"/>
        <w:bottom w:val="none" w:sz="0" w:space="0" w:color="auto"/>
        <w:right w:val="none" w:sz="0" w:space="0" w:color="auto"/>
      </w:divBdr>
    </w:div>
    <w:div w:id="1112742787">
      <w:bodyDiv w:val="1"/>
      <w:marLeft w:val="0"/>
      <w:marRight w:val="0"/>
      <w:marTop w:val="0"/>
      <w:marBottom w:val="0"/>
      <w:divBdr>
        <w:top w:val="none" w:sz="0" w:space="0" w:color="auto"/>
        <w:left w:val="none" w:sz="0" w:space="0" w:color="auto"/>
        <w:bottom w:val="none" w:sz="0" w:space="0" w:color="auto"/>
        <w:right w:val="none" w:sz="0" w:space="0" w:color="auto"/>
      </w:divBdr>
    </w:div>
    <w:div w:id="1124927951">
      <w:bodyDiv w:val="1"/>
      <w:marLeft w:val="0"/>
      <w:marRight w:val="0"/>
      <w:marTop w:val="0"/>
      <w:marBottom w:val="0"/>
      <w:divBdr>
        <w:top w:val="none" w:sz="0" w:space="0" w:color="auto"/>
        <w:left w:val="none" w:sz="0" w:space="0" w:color="auto"/>
        <w:bottom w:val="none" w:sz="0" w:space="0" w:color="auto"/>
        <w:right w:val="none" w:sz="0" w:space="0" w:color="auto"/>
      </w:divBdr>
    </w:div>
    <w:div w:id="1135173684">
      <w:bodyDiv w:val="1"/>
      <w:marLeft w:val="0"/>
      <w:marRight w:val="0"/>
      <w:marTop w:val="0"/>
      <w:marBottom w:val="0"/>
      <w:divBdr>
        <w:top w:val="none" w:sz="0" w:space="0" w:color="auto"/>
        <w:left w:val="none" w:sz="0" w:space="0" w:color="auto"/>
        <w:bottom w:val="none" w:sz="0" w:space="0" w:color="auto"/>
        <w:right w:val="none" w:sz="0" w:space="0" w:color="auto"/>
      </w:divBdr>
    </w:div>
    <w:div w:id="1136486656">
      <w:bodyDiv w:val="1"/>
      <w:marLeft w:val="0"/>
      <w:marRight w:val="0"/>
      <w:marTop w:val="0"/>
      <w:marBottom w:val="0"/>
      <w:divBdr>
        <w:top w:val="none" w:sz="0" w:space="0" w:color="auto"/>
        <w:left w:val="none" w:sz="0" w:space="0" w:color="auto"/>
        <w:bottom w:val="none" w:sz="0" w:space="0" w:color="auto"/>
        <w:right w:val="none" w:sz="0" w:space="0" w:color="auto"/>
      </w:divBdr>
    </w:div>
    <w:div w:id="1141076946">
      <w:bodyDiv w:val="1"/>
      <w:marLeft w:val="0"/>
      <w:marRight w:val="0"/>
      <w:marTop w:val="0"/>
      <w:marBottom w:val="0"/>
      <w:divBdr>
        <w:top w:val="none" w:sz="0" w:space="0" w:color="auto"/>
        <w:left w:val="none" w:sz="0" w:space="0" w:color="auto"/>
        <w:bottom w:val="none" w:sz="0" w:space="0" w:color="auto"/>
        <w:right w:val="none" w:sz="0" w:space="0" w:color="auto"/>
      </w:divBdr>
    </w:div>
    <w:div w:id="1143230193">
      <w:bodyDiv w:val="1"/>
      <w:marLeft w:val="0"/>
      <w:marRight w:val="0"/>
      <w:marTop w:val="0"/>
      <w:marBottom w:val="0"/>
      <w:divBdr>
        <w:top w:val="none" w:sz="0" w:space="0" w:color="auto"/>
        <w:left w:val="none" w:sz="0" w:space="0" w:color="auto"/>
        <w:bottom w:val="none" w:sz="0" w:space="0" w:color="auto"/>
        <w:right w:val="none" w:sz="0" w:space="0" w:color="auto"/>
      </w:divBdr>
    </w:div>
    <w:div w:id="1145665054">
      <w:bodyDiv w:val="1"/>
      <w:marLeft w:val="0"/>
      <w:marRight w:val="0"/>
      <w:marTop w:val="0"/>
      <w:marBottom w:val="0"/>
      <w:divBdr>
        <w:top w:val="none" w:sz="0" w:space="0" w:color="auto"/>
        <w:left w:val="none" w:sz="0" w:space="0" w:color="auto"/>
        <w:bottom w:val="none" w:sz="0" w:space="0" w:color="auto"/>
        <w:right w:val="none" w:sz="0" w:space="0" w:color="auto"/>
      </w:divBdr>
    </w:div>
    <w:div w:id="1151210829">
      <w:bodyDiv w:val="1"/>
      <w:marLeft w:val="0"/>
      <w:marRight w:val="0"/>
      <w:marTop w:val="0"/>
      <w:marBottom w:val="0"/>
      <w:divBdr>
        <w:top w:val="none" w:sz="0" w:space="0" w:color="auto"/>
        <w:left w:val="none" w:sz="0" w:space="0" w:color="auto"/>
        <w:bottom w:val="none" w:sz="0" w:space="0" w:color="auto"/>
        <w:right w:val="none" w:sz="0" w:space="0" w:color="auto"/>
      </w:divBdr>
    </w:div>
    <w:div w:id="1154570922">
      <w:bodyDiv w:val="1"/>
      <w:marLeft w:val="0"/>
      <w:marRight w:val="0"/>
      <w:marTop w:val="0"/>
      <w:marBottom w:val="0"/>
      <w:divBdr>
        <w:top w:val="none" w:sz="0" w:space="0" w:color="auto"/>
        <w:left w:val="none" w:sz="0" w:space="0" w:color="auto"/>
        <w:bottom w:val="none" w:sz="0" w:space="0" w:color="auto"/>
        <w:right w:val="none" w:sz="0" w:space="0" w:color="auto"/>
      </w:divBdr>
    </w:div>
    <w:div w:id="1160192092">
      <w:bodyDiv w:val="1"/>
      <w:marLeft w:val="0"/>
      <w:marRight w:val="0"/>
      <w:marTop w:val="0"/>
      <w:marBottom w:val="0"/>
      <w:divBdr>
        <w:top w:val="none" w:sz="0" w:space="0" w:color="auto"/>
        <w:left w:val="none" w:sz="0" w:space="0" w:color="auto"/>
        <w:bottom w:val="none" w:sz="0" w:space="0" w:color="auto"/>
        <w:right w:val="none" w:sz="0" w:space="0" w:color="auto"/>
      </w:divBdr>
    </w:div>
    <w:div w:id="1161773375">
      <w:bodyDiv w:val="1"/>
      <w:marLeft w:val="0"/>
      <w:marRight w:val="0"/>
      <w:marTop w:val="0"/>
      <w:marBottom w:val="0"/>
      <w:divBdr>
        <w:top w:val="none" w:sz="0" w:space="0" w:color="auto"/>
        <w:left w:val="none" w:sz="0" w:space="0" w:color="auto"/>
        <w:bottom w:val="none" w:sz="0" w:space="0" w:color="auto"/>
        <w:right w:val="none" w:sz="0" w:space="0" w:color="auto"/>
      </w:divBdr>
    </w:div>
    <w:div w:id="1167598357">
      <w:bodyDiv w:val="1"/>
      <w:marLeft w:val="0"/>
      <w:marRight w:val="0"/>
      <w:marTop w:val="0"/>
      <w:marBottom w:val="0"/>
      <w:divBdr>
        <w:top w:val="none" w:sz="0" w:space="0" w:color="auto"/>
        <w:left w:val="none" w:sz="0" w:space="0" w:color="auto"/>
        <w:bottom w:val="none" w:sz="0" w:space="0" w:color="auto"/>
        <w:right w:val="none" w:sz="0" w:space="0" w:color="auto"/>
      </w:divBdr>
    </w:div>
    <w:div w:id="1175263036">
      <w:bodyDiv w:val="1"/>
      <w:marLeft w:val="0"/>
      <w:marRight w:val="0"/>
      <w:marTop w:val="0"/>
      <w:marBottom w:val="0"/>
      <w:divBdr>
        <w:top w:val="none" w:sz="0" w:space="0" w:color="auto"/>
        <w:left w:val="none" w:sz="0" w:space="0" w:color="auto"/>
        <w:bottom w:val="none" w:sz="0" w:space="0" w:color="auto"/>
        <w:right w:val="none" w:sz="0" w:space="0" w:color="auto"/>
      </w:divBdr>
    </w:div>
    <w:div w:id="1176574169">
      <w:bodyDiv w:val="1"/>
      <w:marLeft w:val="0"/>
      <w:marRight w:val="0"/>
      <w:marTop w:val="0"/>
      <w:marBottom w:val="0"/>
      <w:divBdr>
        <w:top w:val="none" w:sz="0" w:space="0" w:color="auto"/>
        <w:left w:val="none" w:sz="0" w:space="0" w:color="auto"/>
        <w:bottom w:val="none" w:sz="0" w:space="0" w:color="auto"/>
        <w:right w:val="none" w:sz="0" w:space="0" w:color="auto"/>
      </w:divBdr>
    </w:div>
    <w:div w:id="1177572037">
      <w:bodyDiv w:val="1"/>
      <w:marLeft w:val="0"/>
      <w:marRight w:val="0"/>
      <w:marTop w:val="0"/>
      <w:marBottom w:val="0"/>
      <w:divBdr>
        <w:top w:val="none" w:sz="0" w:space="0" w:color="auto"/>
        <w:left w:val="none" w:sz="0" w:space="0" w:color="auto"/>
        <w:bottom w:val="none" w:sz="0" w:space="0" w:color="auto"/>
        <w:right w:val="none" w:sz="0" w:space="0" w:color="auto"/>
      </w:divBdr>
    </w:div>
    <w:div w:id="1183857124">
      <w:bodyDiv w:val="1"/>
      <w:marLeft w:val="0"/>
      <w:marRight w:val="0"/>
      <w:marTop w:val="0"/>
      <w:marBottom w:val="0"/>
      <w:divBdr>
        <w:top w:val="none" w:sz="0" w:space="0" w:color="auto"/>
        <w:left w:val="none" w:sz="0" w:space="0" w:color="auto"/>
        <w:bottom w:val="none" w:sz="0" w:space="0" w:color="auto"/>
        <w:right w:val="none" w:sz="0" w:space="0" w:color="auto"/>
      </w:divBdr>
    </w:div>
    <w:div w:id="1185480753">
      <w:bodyDiv w:val="1"/>
      <w:marLeft w:val="0"/>
      <w:marRight w:val="0"/>
      <w:marTop w:val="0"/>
      <w:marBottom w:val="0"/>
      <w:divBdr>
        <w:top w:val="none" w:sz="0" w:space="0" w:color="auto"/>
        <w:left w:val="none" w:sz="0" w:space="0" w:color="auto"/>
        <w:bottom w:val="none" w:sz="0" w:space="0" w:color="auto"/>
        <w:right w:val="none" w:sz="0" w:space="0" w:color="auto"/>
      </w:divBdr>
    </w:div>
    <w:div w:id="1186362526">
      <w:bodyDiv w:val="1"/>
      <w:marLeft w:val="0"/>
      <w:marRight w:val="0"/>
      <w:marTop w:val="0"/>
      <w:marBottom w:val="0"/>
      <w:divBdr>
        <w:top w:val="none" w:sz="0" w:space="0" w:color="auto"/>
        <w:left w:val="none" w:sz="0" w:space="0" w:color="auto"/>
        <w:bottom w:val="none" w:sz="0" w:space="0" w:color="auto"/>
        <w:right w:val="none" w:sz="0" w:space="0" w:color="auto"/>
      </w:divBdr>
    </w:div>
    <w:div w:id="1195844233">
      <w:bodyDiv w:val="1"/>
      <w:marLeft w:val="0"/>
      <w:marRight w:val="0"/>
      <w:marTop w:val="0"/>
      <w:marBottom w:val="0"/>
      <w:divBdr>
        <w:top w:val="none" w:sz="0" w:space="0" w:color="auto"/>
        <w:left w:val="none" w:sz="0" w:space="0" w:color="auto"/>
        <w:bottom w:val="none" w:sz="0" w:space="0" w:color="auto"/>
        <w:right w:val="none" w:sz="0" w:space="0" w:color="auto"/>
      </w:divBdr>
    </w:div>
    <w:div w:id="1199707383">
      <w:bodyDiv w:val="1"/>
      <w:marLeft w:val="0"/>
      <w:marRight w:val="0"/>
      <w:marTop w:val="0"/>
      <w:marBottom w:val="0"/>
      <w:divBdr>
        <w:top w:val="none" w:sz="0" w:space="0" w:color="auto"/>
        <w:left w:val="none" w:sz="0" w:space="0" w:color="auto"/>
        <w:bottom w:val="none" w:sz="0" w:space="0" w:color="auto"/>
        <w:right w:val="none" w:sz="0" w:space="0" w:color="auto"/>
      </w:divBdr>
    </w:div>
    <w:div w:id="1204750791">
      <w:bodyDiv w:val="1"/>
      <w:marLeft w:val="0"/>
      <w:marRight w:val="0"/>
      <w:marTop w:val="0"/>
      <w:marBottom w:val="0"/>
      <w:divBdr>
        <w:top w:val="none" w:sz="0" w:space="0" w:color="auto"/>
        <w:left w:val="none" w:sz="0" w:space="0" w:color="auto"/>
        <w:bottom w:val="none" w:sz="0" w:space="0" w:color="auto"/>
        <w:right w:val="none" w:sz="0" w:space="0" w:color="auto"/>
      </w:divBdr>
    </w:div>
    <w:div w:id="1222208569">
      <w:bodyDiv w:val="1"/>
      <w:marLeft w:val="0"/>
      <w:marRight w:val="0"/>
      <w:marTop w:val="0"/>
      <w:marBottom w:val="0"/>
      <w:divBdr>
        <w:top w:val="none" w:sz="0" w:space="0" w:color="auto"/>
        <w:left w:val="none" w:sz="0" w:space="0" w:color="auto"/>
        <w:bottom w:val="none" w:sz="0" w:space="0" w:color="auto"/>
        <w:right w:val="none" w:sz="0" w:space="0" w:color="auto"/>
      </w:divBdr>
    </w:div>
    <w:div w:id="1223440105">
      <w:bodyDiv w:val="1"/>
      <w:marLeft w:val="0"/>
      <w:marRight w:val="0"/>
      <w:marTop w:val="0"/>
      <w:marBottom w:val="0"/>
      <w:divBdr>
        <w:top w:val="none" w:sz="0" w:space="0" w:color="auto"/>
        <w:left w:val="none" w:sz="0" w:space="0" w:color="auto"/>
        <w:bottom w:val="none" w:sz="0" w:space="0" w:color="auto"/>
        <w:right w:val="none" w:sz="0" w:space="0" w:color="auto"/>
      </w:divBdr>
    </w:div>
    <w:div w:id="1224172890">
      <w:bodyDiv w:val="1"/>
      <w:marLeft w:val="0"/>
      <w:marRight w:val="0"/>
      <w:marTop w:val="0"/>
      <w:marBottom w:val="0"/>
      <w:divBdr>
        <w:top w:val="none" w:sz="0" w:space="0" w:color="auto"/>
        <w:left w:val="none" w:sz="0" w:space="0" w:color="auto"/>
        <w:bottom w:val="none" w:sz="0" w:space="0" w:color="auto"/>
        <w:right w:val="none" w:sz="0" w:space="0" w:color="auto"/>
      </w:divBdr>
    </w:div>
    <w:div w:id="1229658011">
      <w:bodyDiv w:val="1"/>
      <w:marLeft w:val="0"/>
      <w:marRight w:val="0"/>
      <w:marTop w:val="0"/>
      <w:marBottom w:val="0"/>
      <w:divBdr>
        <w:top w:val="none" w:sz="0" w:space="0" w:color="auto"/>
        <w:left w:val="none" w:sz="0" w:space="0" w:color="auto"/>
        <w:bottom w:val="none" w:sz="0" w:space="0" w:color="auto"/>
        <w:right w:val="none" w:sz="0" w:space="0" w:color="auto"/>
      </w:divBdr>
    </w:div>
    <w:div w:id="1233929317">
      <w:bodyDiv w:val="1"/>
      <w:marLeft w:val="0"/>
      <w:marRight w:val="0"/>
      <w:marTop w:val="0"/>
      <w:marBottom w:val="0"/>
      <w:divBdr>
        <w:top w:val="none" w:sz="0" w:space="0" w:color="auto"/>
        <w:left w:val="none" w:sz="0" w:space="0" w:color="auto"/>
        <w:bottom w:val="none" w:sz="0" w:space="0" w:color="auto"/>
        <w:right w:val="none" w:sz="0" w:space="0" w:color="auto"/>
      </w:divBdr>
    </w:div>
    <w:div w:id="1241063113">
      <w:bodyDiv w:val="1"/>
      <w:marLeft w:val="0"/>
      <w:marRight w:val="0"/>
      <w:marTop w:val="0"/>
      <w:marBottom w:val="0"/>
      <w:divBdr>
        <w:top w:val="none" w:sz="0" w:space="0" w:color="auto"/>
        <w:left w:val="none" w:sz="0" w:space="0" w:color="auto"/>
        <w:bottom w:val="none" w:sz="0" w:space="0" w:color="auto"/>
        <w:right w:val="none" w:sz="0" w:space="0" w:color="auto"/>
      </w:divBdr>
    </w:div>
    <w:div w:id="1270821302">
      <w:bodyDiv w:val="1"/>
      <w:marLeft w:val="0"/>
      <w:marRight w:val="0"/>
      <w:marTop w:val="0"/>
      <w:marBottom w:val="0"/>
      <w:divBdr>
        <w:top w:val="none" w:sz="0" w:space="0" w:color="auto"/>
        <w:left w:val="none" w:sz="0" w:space="0" w:color="auto"/>
        <w:bottom w:val="none" w:sz="0" w:space="0" w:color="auto"/>
        <w:right w:val="none" w:sz="0" w:space="0" w:color="auto"/>
      </w:divBdr>
    </w:div>
    <w:div w:id="1270967085">
      <w:bodyDiv w:val="1"/>
      <w:marLeft w:val="0"/>
      <w:marRight w:val="0"/>
      <w:marTop w:val="0"/>
      <w:marBottom w:val="0"/>
      <w:divBdr>
        <w:top w:val="none" w:sz="0" w:space="0" w:color="auto"/>
        <w:left w:val="none" w:sz="0" w:space="0" w:color="auto"/>
        <w:bottom w:val="none" w:sz="0" w:space="0" w:color="auto"/>
        <w:right w:val="none" w:sz="0" w:space="0" w:color="auto"/>
      </w:divBdr>
    </w:div>
    <w:div w:id="1271353266">
      <w:bodyDiv w:val="1"/>
      <w:marLeft w:val="0"/>
      <w:marRight w:val="0"/>
      <w:marTop w:val="0"/>
      <w:marBottom w:val="0"/>
      <w:divBdr>
        <w:top w:val="none" w:sz="0" w:space="0" w:color="auto"/>
        <w:left w:val="none" w:sz="0" w:space="0" w:color="auto"/>
        <w:bottom w:val="none" w:sz="0" w:space="0" w:color="auto"/>
        <w:right w:val="none" w:sz="0" w:space="0" w:color="auto"/>
      </w:divBdr>
    </w:div>
    <w:div w:id="1297175814">
      <w:bodyDiv w:val="1"/>
      <w:marLeft w:val="0"/>
      <w:marRight w:val="0"/>
      <w:marTop w:val="0"/>
      <w:marBottom w:val="0"/>
      <w:divBdr>
        <w:top w:val="none" w:sz="0" w:space="0" w:color="auto"/>
        <w:left w:val="none" w:sz="0" w:space="0" w:color="auto"/>
        <w:bottom w:val="none" w:sz="0" w:space="0" w:color="auto"/>
        <w:right w:val="none" w:sz="0" w:space="0" w:color="auto"/>
      </w:divBdr>
    </w:div>
    <w:div w:id="1312710870">
      <w:bodyDiv w:val="1"/>
      <w:marLeft w:val="0"/>
      <w:marRight w:val="0"/>
      <w:marTop w:val="0"/>
      <w:marBottom w:val="0"/>
      <w:divBdr>
        <w:top w:val="none" w:sz="0" w:space="0" w:color="auto"/>
        <w:left w:val="none" w:sz="0" w:space="0" w:color="auto"/>
        <w:bottom w:val="none" w:sz="0" w:space="0" w:color="auto"/>
        <w:right w:val="none" w:sz="0" w:space="0" w:color="auto"/>
      </w:divBdr>
    </w:div>
    <w:div w:id="1317413409">
      <w:bodyDiv w:val="1"/>
      <w:marLeft w:val="0"/>
      <w:marRight w:val="0"/>
      <w:marTop w:val="0"/>
      <w:marBottom w:val="0"/>
      <w:divBdr>
        <w:top w:val="none" w:sz="0" w:space="0" w:color="auto"/>
        <w:left w:val="none" w:sz="0" w:space="0" w:color="auto"/>
        <w:bottom w:val="none" w:sz="0" w:space="0" w:color="auto"/>
        <w:right w:val="none" w:sz="0" w:space="0" w:color="auto"/>
      </w:divBdr>
    </w:div>
    <w:div w:id="1344551998">
      <w:bodyDiv w:val="1"/>
      <w:marLeft w:val="0"/>
      <w:marRight w:val="0"/>
      <w:marTop w:val="0"/>
      <w:marBottom w:val="0"/>
      <w:divBdr>
        <w:top w:val="none" w:sz="0" w:space="0" w:color="auto"/>
        <w:left w:val="none" w:sz="0" w:space="0" w:color="auto"/>
        <w:bottom w:val="none" w:sz="0" w:space="0" w:color="auto"/>
        <w:right w:val="none" w:sz="0" w:space="0" w:color="auto"/>
      </w:divBdr>
    </w:div>
    <w:div w:id="1345211432">
      <w:bodyDiv w:val="1"/>
      <w:marLeft w:val="0"/>
      <w:marRight w:val="0"/>
      <w:marTop w:val="0"/>
      <w:marBottom w:val="0"/>
      <w:divBdr>
        <w:top w:val="none" w:sz="0" w:space="0" w:color="auto"/>
        <w:left w:val="none" w:sz="0" w:space="0" w:color="auto"/>
        <w:bottom w:val="none" w:sz="0" w:space="0" w:color="auto"/>
        <w:right w:val="none" w:sz="0" w:space="0" w:color="auto"/>
      </w:divBdr>
    </w:div>
    <w:div w:id="1350714286">
      <w:bodyDiv w:val="1"/>
      <w:marLeft w:val="0"/>
      <w:marRight w:val="0"/>
      <w:marTop w:val="0"/>
      <w:marBottom w:val="0"/>
      <w:divBdr>
        <w:top w:val="none" w:sz="0" w:space="0" w:color="auto"/>
        <w:left w:val="none" w:sz="0" w:space="0" w:color="auto"/>
        <w:bottom w:val="none" w:sz="0" w:space="0" w:color="auto"/>
        <w:right w:val="none" w:sz="0" w:space="0" w:color="auto"/>
      </w:divBdr>
    </w:div>
    <w:div w:id="1351489344">
      <w:bodyDiv w:val="1"/>
      <w:marLeft w:val="0"/>
      <w:marRight w:val="0"/>
      <w:marTop w:val="0"/>
      <w:marBottom w:val="0"/>
      <w:divBdr>
        <w:top w:val="none" w:sz="0" w:space="0" w:color="auto"/>
        <w:left w:val="none" w:sz="0" w:space="0" w:color="auto"/>
        <w:bottom w:val="none" w:sz="0" w:space="0" w:color="auto"/>
        <w:right w:val="none" w:sz="0" w:space="0" w:color="auto"/>
      </w:divBdr>
    </w:div>
    <w:div w:id="1362391664">
      <w:bodyDiv w:val="1"/>
      <w:marLeft w:val="0"/>
      <w:marRight w:val="0"/>
      <w:marTop w:val="0"/>
      <w:marBottom w:val="0"/>
      <w:divBdr>
        <w:top w:val="none" w:sz="0" w:space="0" w:color="auto"/>
        <w:left w:val="none" w:sz="0" w:space="0" w:color="auto"/>
        <w:bottom w:val="none" w:sz="0" w:space="0" w:color="auto"/>
        <w:right w:val="none" w:sz="0" w:space="0" w:color="auto"/>
      </w:divBdr>
    </w:div>
    <w:div w:id="1363478574">
      <w:bodyDiv w:val="1"/>
      <w:marLeft w:val="0"/>
      <w:marRight w:val="0"/>
      <w:marTop w:val="0"/>
      <w:marBottom w:val="0"/>
      <w:divBdr>
        <w:top w:val="none" w:sz="0" w:space="0" w:color="auto"/>
        <w:left w:val="none" w:sz="0" w:space="0" w:color="auto"/>
        <w:bottom w:val="none" w:sz="0" w:space="0" w:color="auto"/>
        <w:right w:val="none" w:sz="0" w:space="0" w:color="auto"/>
      </w:divBdr>
    </w:div>
    <w:div w:id="1369263117">
      <w:bodyDiv w:val="1"/>
      <w:marLeft w:val="0"/>
      <w:marRight w:val="0"/>
      <w:marTop w:val="0"/>
      <w:marBottom w:val="0"/>
      <w:divBdr>
        <w:top w:val="none" w:sz="0" w:space="0" w:color="auto"/>
        <w:left w:val="none" w:sz="0" w:space="0" w:color="auto"/>
        <w:bottom w:val="none" w:sz="0" w:space="0" w:color="auto"/>
        <w:right w:val="none" w:sz="0" w:space="0" w:color="auto"/>
      </w:divBdr>
    </w:div>
    <w:div w:id="1387950518">
      <w:bodyDiv w:val="1"/>
      <w:marLeft w:val="0"/>
      <w:marRight w:val="0"/>
      <w:marTop w:val="0"/>
      <w:marBottom w:val="0"/>
      <w:divBdr>
        <w:top w:val="none" w:sz="0" w:space="0" w:color="auto"/>
        <w:left w:val="none" w:sz="0" w:space="0" w:color="auto"/>
        <w:bottom w:val="none" w:sz="0" w:space="0" w:color="auto"/>
        <w:right w:val="none" w:sz="0" w:space="0" w:color="auto"/>
      </w:divBdr>
    </w:div>
    <w:div w:id="1388265291">
      <w:bodyDiv w:val="1"/>
      <w:marLeft w:val="0"/>
      <w:marRight w:val="0"/>
      <w:marTop w:val="0"/>
      <w:marBottom w:val="0"/>
      <w:divBdr>
        <w:top w:val="none" w:sz="0" w:space="0" w:color="auto"/>
        <w:left w:val="none" w:sz="0" w:space="0" w:color="auto"/>
        <w:bottom w:val="none" w:sz="0" w:space="0" w:color="auto"/>
        <w:right w:val="none" w:sz="0" w:space="0" w:color="auto"/>
      </w:divBdr>
    </w:div>
    <w:div w:id="1396582590">
      <w:bodyDiv w:val="1"/>
      <w:marLeft w:val="0"/>
      <w:marRight w:val="0"/>
      <w:marTop w:val="0"/>
      <w:marBottom w:val="0"/>
      <w:divBdr>
        <w:top w:val="none" w:sz="0" w:space="0" w:color="auto"/>
        <w:left w:val="none" w:sz="0" w:space="0" w:color="auto"/>
        <w:bottom w:val="none" w:sz="0" w:space="0" w:color="auto"/>
        <w:right w:val="none" w:sz="0" w:space="0" w:color="auto"/>
      </w:divBdr>
    </w:div>
    <w:div w:id="1400516230">
      <w:bodyDiv w:val="1"/>
      <w:marLeft w:val="0"/>
      <w:marRight w:val="0"/>
      <w:marTop w:val="0"/>
      <w:marBottom w:val="0"/>
      <w:divBdr>
        <w:top w:val="none" w:sz="0" w:space="0" w:color="auto"/>
        <w:left w:val="none" w:sz="0" w:space="0" w:color="auto"/>
        <w:bottom w:val="none" w:sz="0" w:space="0" w:color="auto"/>
        <w:right w:val="none" w:sz="0" w:space="0" w:color="auto"/>
      </w:divBdr>
    </w:div>
    <w:div w:id="1400665827">
      <w:bodyDiv w:val="1"/>
      <w:marLeft w:val="0"/>
      <w:marRight w:val="0"/>
      <w:marTop w:val="0"/>
      <w:marBottom w:val="0"/>
      <w:divBdr>
        <w:top w:val="none" w:sz="0" w:space="0" w:color="auto"/>
        <w:left w:val="none" w:sz="0" w:space="0" w:color="auto"/>
        <w:bottom w:val="none" w:sz="0" w:space="0" w:color="auto"/>
        <w:right w:val="none" w:sz="0" w:space="0" w:color="auto"/>
      </w:divBdr>
    </w:div>
    <w:div w:id="1429736690">
      <w:bodyDiv w:val="1"/>
      <w:marLeft w:val="0"/>
      <w:marRight w:val="0"/>
      <w:marTop w:val="0"/>
      <w:marBottom w:val="0"/>
      <w:divBdr>
        <w:top w:val="none" w:sz="0" w:space="0" w:color="auto"/>
        <w:left w:val="none" w:sz="0" w:space="0" w:color="auto"/>
        <w:bottom w:val="none" w:sz="0" w:space="0" w:color="auto"/>
        <w:right w:val="none" w:sz="0" w:space="0" w:color="auto"/>
      </w:divBdr>
    </w:div>
    <w:div w:id="1430079544">
      <w:bodyDiv w:val="1"/>
      <w:marLeft w:val="0"/>
      <w:marRight w:val="0"/>
      <w:marTop w:val="0"/>
      <w:marBottom w:val="0"/>
      <w:divBdr>
        <w:top w:val="none" w:sz="0" w:space="0" w:color="auto"/>
        <w:left w:val="none" w:sz="0" w:space="0" w:color="auto"/>
        <w:bottom w:val="none" w:sz="0" w:space="0" w:color="auto"/>
        <w:right w:val="none" w:sz="0" w:space="0" w:color="auto"/>
      </w:divBdr>
    </w:div>
    <w:div w:id="1435052102">
      <w:bodyDiv w:val="1"/>
      <w:marLeft w:val="0"/>
      <w:marRight w:val="0"/>
      <w:marTop w:val="0"/>
      <w:marBottom w:val="0"/>
      <w:divBdr>
        <w:top w:val="none" w:sz="0" w:space="0" w:color="auto"/>
        <w:left w:val="none" w:sz="0" w:space="0" w:color="auto"/>
        <w:bottom w:val="none" w:sz="0" w:space="0" w:color="auto"/>
        <w:right w:val="none" w:sz="0" w:space="0" w:color="auto"/>
      </w:divBdr>
    </w:div>
    <w:div w:id="1438216372">
      <w:bodyDiv w:val="1"/>
      <w:marLeft w:val="0"/>
      <w:marRight w:val="0"/>
      <w:marTop w:val="0"/>
      <w:marBottom w:val="0"/>
      <w:divBdr>
        <w:top w:val="none" w:sz="0" w:space="0" w:color="auto"/>
        <w:left w:val="none" w:sz="0" w:space="0" w:color="auto"/>
        <w:bottom w:val="none" w:sz="0" w:space="0" w:color="auto"/>
        <w:right w:val="none" w:sz="0" w:space="0" w:color="auto"/>
      </w:divBdr>
    </w:div>
    <w:div w:id="1441100803">
      <w:bodyDiv w:val="1"/>
      <w:marLeft w:val="0"/>
      <w:marRight w:val="0"/>
      <w:marTop w:val="0"/>
      <w:marBottom w:val="0"/>
      <w:divBdr>
        <w:top w:val="none" w:sz="0" w:space="0" w:color="auto"/>
        <w:left w:val="none" w:sz="0" w:space="0" w:color="auto"/>
        <w:bottom w:val="none" w:sz="0" w:space="0" w:color="auto"/>
        <w:right w:val="none" w:sz="0" w:space="0" w:color="auto"/>
      </w:divBdr>
    </w:div>
    <w:div w:id="1441560989">
      <w:bodyDiv w:val="1"/>
      <w:marLeft w:val="0"/>
      <w:marRight w:val="0"/>
      <w:marTop w:val="0"/>
      <w:marBottom w:val="0"/>
      <w:divBdr>
        <w:top w:val="none" w:sz="0" w:space="0" w:color="auto"/>
        <w:left w:val="none" w:sz="0" w:space="0" w:color="auto"/>
        <w:bottom w:val="none" w:sz="0" w:space="0" w:color="auto"/>
        <w:right w:val="none" w:sz="0" w:space="0" w:color="auto"/>
      </w:divBdr>
    </w:div>
    <w:div w:id="1452632216">
      <w:bodyDiv w:val="1"/>
      <w:marLeft w:val="0"/>
      <w:marRight w:val="0"/>
      <w:marTop w:val="0"/>
      <w:marBottom w:val="0"/>
      <w:divBdr>
        <w:top w:val="none" w:sz="0" w:space="0" w:color="auto"/>
        <w:left w:val="none" w:sz="0" w:space="0" w:color="auto"/>
        <w:bottom w:val="none" w:sz="0" w:space="0" w:color="auto"/>
        <w:right w:val="none" w:sz="0" w:space="0" w:color="auto"/>
      </w:divBdr>
    </w:div>
    <w:div w:id="1454858617">
      <w:bodyDiv w:val="1"/>
      <w:marLeft w:val="0"/>
      <w:marRight w:val="0"/>
      <w:marTop w:val="0"/>
      <w:marBottom w:val="0"/>
      <w:divBdr>
        <w:top w:val="none" w:sz="0" w:space="0" w:color="auto"/>
        <w:left w:val="none" w:sz="0" w:space="0" w:color="auto"/>
        <w:bottom w:val="none" w:sz="0" w:space="0" w:color="auto"/>
        <w:right w:val="none" w:sz="0" w:space="0" w:color="auto"/>
      </w:divBdr>
    </w:div>
    <w:div w:id="1466462347">
      <w:bodyDiv w:val="1"/>
      <w:marLeft w:val="0"/>
      <w:marRight w:val="0"/>
      <w:marTop w:val="0"/>
      <w:marBottom w:val="0"/>
      <w:divBdr>
        <w:top w:val="none" w:sz="0" w:space="0" w:color="auto"/>
        <w:left w:val="none" w:sz="0" w:space="0" w:color="auto"/>
        <w:bottom w:val="none" w:sz="0" w:space="0" w:color="auto"/>
        <w:right w:val="none" w:sz="0" w:space="0" w:color="auto"/>
      </w:divBdr>
    </w:div>
    <w:div w:id="1474519592">
      <w:bodyDiv w:val="1"/>
      <w:marLeft w:val="0"/>
      <w:marRight w:val="0"/>
      <w:marTop w:val="0"/>
      <w:marBottom w:val="0"/>
      <w:divBdr>
        <w:top w:val="none" w:sz="0" w:space="0" w:color="auto"/>
        <w:left w:val="none" w:sz="0" w:space="0" w:color="auto"/>
        <w:bottom w:val="none" w:sz="0" w:space="0" w:color="auto"/>
        <w:right w:val="none" w:sz="0" w:space="0" w:color="auto"/>
      </w:divBdr>
    </w:div>
    <w:div w:id="1476095509">
      <w:bodyDiv w:val="1"/>
      <w:marLeft w:val="0"/>
      <w:marRight w:val="0"/>
      <w:marTop w:val="0"/>
      <w:marBottom w:val="0"/>
      <w:divBdr>
        <w:top w:val="none" w:sz="0" w:space="0" w:color="auto"/>
        <w:left w:val="none" w:sz="0" w:space="0" w:color="auto"/>
        <w:bottom w:val="none" w:sz="0" w:space="0" w:color="auto"/>
        <w:right w:val="none" w:sz="0" w:space="0" w:color="auto"/>
      </w:divBdr>
    </w:div>
    <w:div w:id="1487092579">
      <w:bodyDiv w:val="1"/>
      <w:marLeft w:val="0"/>
      <w:marRight w:val="0"/>
      <w:marTop w:val="0"/>
      <w:marBottom w:val="0"/>
      <w:divBdr>
        <w:top w:val="none" w:sz="0" w:space="0" w:color="auto"/>
        <w:left w:val="none" w:sz="0" w:space="0" w:color="auto"/>
        <w:bottom w:val="none" w:sz="0" w:space="0" w:color="auto"/>
        <w:right w:val="none" w:sz="0" w:space="0" w:color="auto"/>
      </w:divBdr>
    </w:div>
    <w:div w:id="1489125802">
      <w:bodyDiv w:val="1"/>
      <w:marLeft w:val="0"/>
      <w:marRight w:val="0"/>
      <w:marTop w:val="0"/>
      <w:marBottom w:val="0"/>
      <w:divBdr>
        <w:top w:val="none" w:sz="0" w:space="0" w:color="auto"/>
        <w:left w:val="none" w:sz="0" w:space="0" w:color="auto"/>
        <w:bottom w:val="none" w:sz="0" w:space="0" w:color="auto"/>
        <w:right w:val="none" w:sz="0" w:space="0" w:color="auto"/>
      </w:divBdr>
    </w:div>
    <w:div w:id="1497988840">
      <w:bodyDiv w:val="1"/>
      <w:marLeft w:val="0"/>
      <w:marRight w:val="0"/>
      <w:marTop w:val="0"/>
      <w:marBottom w:val="0"/>
      <w:divBdr>
        <w:top w:val="none" w:sz="0" w:space="0" w:color="auto"/>
        <w:left w:val="none" w:sz="0" w:space="0" w:color="auto"/>
        <w:bottom w:val="none" w:sz="0" w:space="0" w:color="auto"/>
        <w:right w:val="none" w:sz="0" w:space="0" w:color="auto"/>
      </w:divBdr>
    </w:div>
    <w:div w:id="1504274082">
      <w:bodyDiv w:val="1"/>
      <w:marLeft w:val="0"/>
      <w:marRight w:val="0"/>
      <w:marTop w:val="0"/>
      <w:marBottom w:val="0"/>
      <w:divBdr>
        <w:top w:val="none" w:sz="0" w:space="0" w:color="auto"/>
        <w:left w:val="none" w:sz="0" w:space="0" w:color="auto"/>
        <w:bottom w:val="none" w:sz="0" w:space="0" w:color="auto"/>
        <w:right w:val="none" w:sz="0" w:space="0" w:color="auto"/>
      </w:divBdr>
    </w:div>
    <w:div w:id="1505853157">
      <w:bodyDiv w:val="1"/>
      <w:marLeft w:val="0"/>
      <w:marRight w:val="0"/>
      <w:marTop w:val="0"/>
      <w:marBottom w:val="0"/>
      <w:divBdr>
        <w:top w:val="none" w:sz="0" w:space="0" w:color="auto"/>
        <w:left w:val="none" w:sz="0" w:space="0" w:color="auto"/>
        <w:bottom w:val="none" w:sz="0" w:space="0" w:color="auto"/>
        <w:right w:val="none" w:sz="0" w:space="0" w:color="auto"/>
      </w:divBdr>
    </w:div>
    <w:div w:id="1508400967">
      <w:bodyDiv w:val="1"/>
      <w:marLeft w:val="0"/>
      <w:marRight w:val="0"/>
      <w:marTop w:val="0"/>
      <w:marBottom w:val="0"/>
      <w:divBdr>
        <w:top w:val="none" w:sz="0" w:space="0" w:color="auto"/>
        <w:left w:val="none" w:sz="0" w:space="0" w:color="auto"/>
        <w:bottom w:val="none" w:sz="0" w:space="0" w:color="auto"/>
        <w:right w:val="none" w:sz="0" w:space="0" w:color="auto"/>
      </w:divBdr>
    </w:div>
    <w:div w:id="1515925098">
      <w:bodyDiv w:val="1"/>
      <w:marLeft w:val="0"/>
      <w:marRight w:val="0"/>
      <w:marTop w:val="0"/>
      <w:marBottom w:val="0"/>
      <w:divBdr>
        <w:top w:val="none" w:sz="0" w:space="0" w:color="auto"/>
        <w:left w:val="none" w:sz="0" w:space="0" w:color="auto"/>
        <w:bottom w:val="none" w:sz="0" w:space="0" w:color="auto"/>
        <w:right w:val="none" w:sz="0" w:space="0" w:color="auto"/>
      </w:divBdr>
    </w:div>
    <w:div w:id="1519074513">
      <w:bodyDiv w:val="1"/>
      <w:marLeft w:val="0"/>
      <w:marRight w:val="0"/>
      <w:marTop w:val="0"/>
      <w:marBottom w:val="0"/>
      <w:divBdr>
        <w:top w:val="none" w:sz="0" w:space="0" w:color="auto"/>
        <w:left w:val="none" w:sz="0" w:space="0" w:color="auto"/>
        <w:bottom w:val="none" w:sz="0" w:space="0" w:color="auto"/>
        <w:right w:val="none" w:sz="0" w:space="0" w:color="auto"/>
      </w:divBdr>
    </w:div>
    <w:div w:id="1527794926">
      <w:bodyDiv w:val="1"/>
      <w:marLeft w:val="0"/>
      <w:marRight w:val="0"/>
      <w:marTop w:val="0"/>
      <w:marBottom w:val="0"/>
      <w:divBdr>
        <w:top w:val="none" w:sz="0" w:space="0" w:color="auto"/>
        <w:left w:val="none" w:sz="0" w:space="0" w:color="auto"/>
        <w:bottom w:val="none" w:sz="0" w:space="0" w:color="auto"/>
        <w:right w:val="none" w:sz="0" w:space="0" w:color="auto"/>
      </w:divBdr>
    </w:div>
    <w:div w:id="1542859581">
      <w:bodyDiv w:val="1"/>
      <w:marLeft w:val="0"/>
      <w:marRight w:val="0"/>
      <w:marTop w:val="0"/>
      <w:marBottom w:val="0"/>
      <w:divBdr>
        <w:top w:val="none" w:sz="0" w:space="0" w:color="auto"/>
        <w:left w:val="none" w:sz="0" w:space="0" w:color="auto"/>
        <w:bottom w:val="none" w:sz="0" w:space="0" w:color="auto"/>
        <w:right w:val="none" w:sz="0" w:space="0" w:color="auto"/>
      </w:divBdr>
    </w:div>
    <w:div w:id="1545829506">
      <w:bodyDiv w:val="1"/>
      <w:marLeft w:val="0"/>
      <w:marRight w:val="0"/>
      <w:marTop w:val="0"/>
      <w:marBottom w:val="0"/>
      <w:divBdr>
        <w:top w:val="none" w:sz="0" w:space="0" w:color="auto"/>
        <w:left w:val="none" w:sz="0" w:space="0" w:color="auto"/>
        <w:bottom w:val="none" w:sz="0" w:space="0" w:color="auto"/>
        <w:right w:val="none" w:sz="0" w:space="0" w:color="auto"/>
      </w:divBdr>
    </w:div>
    <w:div w:id="1556353128">
      <w:bodyDiv w:val="1"/>
      <w:marLeft w:val="0"/>
      <w:marRight w:val="0"/>
      <w:marTop w:val="0"/>
      <w:marBottom w:val="0"/>
      <w:divBdr>
        <w:top w:val="none" w:sz="0" w:space="0" w:color="auto"/>
        <w:left w:val="none" w:sz="0" w:space="0" w:color="auto"/>
        <w:bottom w:val="none" w:sz="0" w:space="0" w:color="auto"/>
        <w:right w:val="none" w:sz="0" w:space="0" w:color="auto"/>
      </w:divBdr>
    </w:div>
    <w:div w:id="1568759768">
      <w:bodyDiv w:val="1"/>
      <w:marLeft w:val="0"/>
      <w:marRight w:val="0"/>
      <w:marTop w:val="0"/>
      <w:marBottom w:val="0"/>
      <w:divBdr>
        <w:top w:val="none" w:sz="0" w:space="0" w:color="auto"/>
        <w:left w:val="none" w:sz="0" w:space="0" w:color="auto"/>
        <w:bottom w:val="none" w:sz="0" w:space="0" w:color="auto"/>
        <w:right w:val="none" w:sz="0" w:space="0" w:color="auto"/>
      </w:divBdr>
    </w:div>
    <w:div w:id="1578831568">
      <w:bodyDiv w:val="1"/>
      <w:marLeft w:val="0"/>
      <w:marRight w:val="0"/>
      <w:marTop w:val="0"/>
      <w:marBottom w:val="0"/>
      <w:divBdr>
        <w:top w:val="none" w:sz="0" w:space="0" w:color="auto"/>
        <w:left w:val="none" w:sz="0" w:space="0" w:color="auto"/>
        <w:bottom w:val="none" w:sz="0" w:space="0" w:color="auto"/>
        <w:right w:val="none" w:sz="0" w:space="0" w:color="auto"/>
      </w:divBdr>
    </w:div>
    <w:div w:id="1591354276">
      <w:bodyDiv w:val="1"/>
      <w:marLeft w:val="0"/>
      <w:marRight w:val="0"/>
      <w:marTop w:val="0"/>
      <w:marBottom w:val="0"/>
      <w:divBdr>
        <w:top w:val="none" w:sz="0" w:space="0" w:color="auto"/>
        <w:left w:val="none" w:sz="0" w:space="0" w:color="auto"/>
        <w:bottom w:val="none" w:sz="0" w:space="0" w:color="auto"/>
        <w:right w:val="none" w:sz="0" w:space="0" w:color="auto"/>
      </w:divBdr>
    </w:div>
    <w:div w:id="1596595560">
      <w:bodyDiv w:val="1"/>
      <w:marLeft w:val="0"/>
      <w:marRight w:val="0"/>
      <w:marTop w:val="0"/>
      <w:marBottom w:val="0"/>
      <w:divBdr>
        <w:top w:val="none" w:sz="0" w:space="0" w:color="auto"/>
        <w:left w:val="none" w:sz="0" w:space="0" w:color="auto"/>
        <w:bottom w:val="none" w:sz="0" w:space="0" w:color="auto"/>
        <w:right w:val="none" w:sz="0" w:space="0" w:color="auto"/>
      </w:divBdr>
    </w:div>
    <w:div w:id="1598830480">
      <w:bodyDiv w:val="1"/>
      <w:marLeft w:val="0"/>
      <w:marRight w:val="0"/>
      <w:marTop w:val="0"/>
      <w:marBottom w:val="0"/>
      <w:divBdr>
        <w:top w:val="none" w:sz="0" w:space="0" w:color="auto"/>
        <w:left w:val="none" w:sz="0" w:space="0" w:color="auto"/>
        <w:bottom w:val="none" w:sz="0" w:space="0" w:color="auto"/>
        <w:right w:val="none" w:sz="0" w:space="0" w:color="auto"/>
      </w:divBdr>
    </w:div>
    <w:div w:id="1600530298">
      <w:bodyDiv w:val="1"/>
      <w:marLeft w:val="0"/>
      <w:marRight w:val="0"/>
      <w:marTop w:val="0"/>
      <w:marBottom w:val="0"/>
      <w:divBdr>
        <w:top w:val="none" w:sz="0" w:space="0" w:color="auto"/>
        <w:left w:val="none" w:sz="0" w:space="0" w:color="auto"/>
        <w:bottom w:val="none" w:sz="0" w:space="0" w:color="auto"/>
        <w:right w:val="none" w:sz="0" w:space="0" w:color="auto"/>
      </w:divBdr>
    </w:div>
    <w:div w:id="1604263399">
      <w:bodyDiv w:val="1"/>
      <w:marLeft w:val="0"/>
      <w:marRight w:val="0"/>
      <w:marTop w:val="0"/>
      <w:marBottom w:val="0"/>
      <w:divBdr>
        <w:top w:val="none" w:sz="0" w:space="0" w:color="auto"/>
        <w:left w:val="none" w:sz="0" w:space="0" w:color="auto"/>
        <w:bottom w:val="none" w:sz="0" w:space="0" w:color="auto"/>
        <w:right w:val="none" w:sz="0" w:space="0" w:color="auto"/>
      </w:divBdr>
    </w:div>
    <w:div w:id="1604460416">
      <w:bodyDiv w:val="1"/>
      <w:marLeft w:val="0"/>
      <w:marRight w:val="0"/>
      <w:marTop w:val="0"/>
      <w:marBottom w:val="0"/>
      <w:divBdr>
        <w:top w:val="none" w:sz="0" w:space="0" w:color="auto"/>
        <w:left w:val="none" w:sz="0" w:space="0" w:color="auto"/>
        <w:bottom w:val="none" w:sz="0" w:space="0" w:color="auto"/>
        <w:right w:val="none" w:sz="0" w:space="0" w:color="auto"/>
      </w:divBdr>
    </w:div>
    <w:div w:id="1606035495">
      <w:bodyDiv w:val="1"/>
      <w:marLeft w:val="0"/>
      <w:marRight w:val="0"/>
      <w:marTop w:val="0"/>
      <w:marBottom w:val="0"/>
      <w:divBdr>
        <w:top w:val="none" w:sz="0" w:space="0" w:color="auto"/>
        <w:left w:val="none" w:sz="0" w:space="0" w:color="auto"/>
        <w:bottom w:val="none" w:sz="0" w:space="0" w:color="auto"/>
        <w:right w:val="none" w:sz="0" w:space="0" w:color="auto"/>
      </w:divBdr>
    </w:div>
    <w:div w:id="1620337742">
      <w:bodyDiv w:val="1"/>
      <w:marLeft w:val="0"/>
      <w:marRight w:val="0"/>
      <w:marTop w:val="0"/>
      <w:marBottom w:val="0"/>
      <w:divBdr>
        <w:top w:val="none" w:sz="0" w:space="0" w:color="auto"/>
        <w:left w:val="none" w:sz="0" w:space="0" w:color="auto"/>
        <w:bottom w:val="none" w:sz="0" w:space="0" w:color="auto"/>
        <w:right w:val="none" w:sz="0" w:space="0" w:color="auto"/>
      </w:divBdr>
    </w:div>
    <w:div w:id="1620650700">
      <w:bodyDiv w:val="1"/>
      <w:marLeft w:val="0"/>
      <w:marRight w:val="0"/>
      <w:marTop w:val="0"/>
      <w:marBottom w:val="0"/>
      <w:divBdr>
        <w:top w:val="none" w:sz="0" w:space="0" w:color="auto"/>
        <w:left w:val="none" w:sz="0" w:space="0" w:color="auto"/>
        <w:bottom w:val="none" w:sz="0" w:space="0" w:color="auto"/>
        <w:right w:val="none" w:sz="0" w:space="0" w:color="auto"/>
      </w:divBdr>
    </w:div>
    <w:div w:id="1621447426">
      <w:bodyDiv w:val="1"/>
      <w:marLeft w:val="0"/>
      <w:marRight w:val="0"/>
      <w:marTop w:val="0"/>
      <w:marBottom w:val="0"/>
      <w:divBdr>
        <w:top w:val="none" w:sz="0" w:space="0" w:color="auto"/>
        <w:left w:val="none" w:sz="0" w:space="0" w:color="auto"/>
        <w:bottom w:val="none" w:sz="0" w:space="0" w:color="auto"/>
        <w:right w:val="none" w:sz="0" w:space="0" w:color="auto"/>
      </w:divBdr>
    </w:div>
    <w:div w:id="1631595130">
      <w:bodyDiv w:val="1"/>
      <w:marLeft w:val="0"/>
      <w:marRight w:val="0"/>
      <w:marTop w:val="0"/>
      <w:marBottom w:val="0"/>
      <w:divBdr>
        <w:top w:val="none" w:sz="0" w:space="0" w:color="auto"/>
        <w:left w:val="none" w:sz="0" w:space="0" w:color="auto"/>
        <w:bottom w:val="none" w:sz="0" w:space="0" w:color="auto"/>
        <w:right w:val="none" w:sz="0" w:space="0" w:color="auto"/>
      </w:divBdr>
    </w:div>
    <w:div w:id="1640957888">
      <w:bodyDiv w:val="1"/>
      <w:marLeft w:val="0"/>
      <w:marRight w:val="0"/>
      <w:marTop w:val="0"/>
      <w:marBottom w:val="0"/>
      <w:divBdr>
        <w:top w:val="none" w:sz="0" w:space="0" w:color="auto"/>
        <w:left w:val="none" w:sz="0" w:space="0" w:color="auto"/>
        <w:bottom w:val="none" w:sz="0" w:space="0" w:color="auto"/>
        <w:right w:val="none" w:sz="0" w:space="0" w:color="auto"/>
      </w:divBdr>
    </w:div>
    <w:div w:id="1646276911">
      <w:bodyDiv w:val="1"/>
      <w:marLeft w:val="0"/>
      <w:marRight w:val="0"/>
      <w:marTop w:val="0"/>
      <w:marBottom w:val="0"/>
      <w:divBdr>
        <w:top w:val="none" w:sz="0" w:space="0" w:color="auto"/>
        <w:left w:val="none" w:sz="0" w:space="0" w:color="auto"/>
        <w:bottom w:val="none" w:sz="0" w:space="0" w:color="auto"/>
        <w:right w:val="none" w:sz="0" w:space="0" w:color="auto"/>
      </w:divBdr>
    </w:div>
    <w:div w:id="1670400444">
      <w:bodyDiv w:val="1"/>
      <w:marLeft w:val="0"/>
      <w:marRight w:val="0"/>
      <w:marTop w:val="0"/>
      <w:marBottom w:val="0"/>
      <w:divBdr>
        <w:top w:val="none" w:sz="0" w:space="0" w:color="auto"/>
        <w:left w:val="none" w:sz="0" w:space="0" w:color="auto"/>
        <w:bottom w:val="none" w:sz="0" w:space="0" w:color="auto"/>
        <w:right w:val="none" w:sz="0" w:space="0" w:color="auto"/>
      </w:divBdr>
    </w:div>
    <w:div w:id="1674991007">
      <w:bodyDiv w:val="1"/>
      <w:marLeft w:val="0"/>
      <w:marRight w:val="0"/>
      <w:marTop w:val="0"/>
      <w:marBottom w:val="0"/>
      <w:divBdr>
        <w:top w:val="none" w:sz="0" w:space="0" w:color="auto"/>
        <w:left w:val="none" w:sz="0" w:space="0" w:color="auto"/>
        <w:bottom w:val="none" w:sz="0" w:space="0" w:color="auto"/>
        <w:right w:val="none" w:sz="0" w:space="0" w:color="auto"/>
      </w:divBdr>
    </w:div>
    <w:div w:id="1678387167">
      <w:bodyDiv w:val="1"/>
      <w:marLeft w:val="0"/>
      <w:marRight w:val="0"/>
      <w:marTop w:val="0"/>
      <w:marBottom w:val="0"/>
      <w:divBdr>
        <w:top w:val="none" w:sz="0" w:space="0" w:color="auto"/>
        <w:left w:val="none" w:sz="0" w:space="0" w:color="auto"/>
        <w:bottom w:val="none" w:sz="0" w:space="0" w:color="auto"/>
        <w:right w:val="none" w:sz="0" w:space="0" w:color="auto"/>
      </w:divBdr>
    </w:div>
    <w:div w:id="1679388355">
      <w:bodyDiv w:val="1"/>
      <w:marLeft w:val="0"/>
      <w:marRight w:val="0"/>
      <w:marTop w:val="0"/>
      <w:marBottom w:val="0"/>
      <w:divBdr>
        <w:top w:val="none" w:sz="0" w:space="0" w:color="auto"/>
        <w:left w:val="none" w:sz="0" w:space="0" w:color="auto"/>
        <w:bottom w:val="none" w:sz="0" w:space="0" w:color="auto"/>
        <w:right w:val="none" w:sz="0" w:space="0" w:color="auto"/>
      </w:divBdr>
    </w:div>
    <w:div w:id="1683898944">
      <w:bodyDiv w:val="1"/>
      <w:marLeft w:val="0"/>
      <w:marRight w:val="0"/>
      <w:marTop w:val="0"/>
      <w:marBottom w:val="0"/>
      <w:divBdr>
        <w:top w:val="none" w:sz="0" w:space="0" w:color="auto"/>
        <w:left w:val="none" w:sz="0" w:space="0" w:color="auto"/>
        <w:bottom w:val="none" w:sz="0" w:space="0" w:color="auto"/>
        <w:right w:val="none" w:sz="0" w:space="0" w:color="auto"/>
      </w:divBdr>
    </w:div>
    <w:div w:id="1687898857">
      <w:bodyDiv w:val="1"/>
      <w:marLeft w:val="0"/>
      <w:marRight w:val="0"/>
      <w:marTop w:val="0"/>
      <w:marBottom w:val="0"/>
      <w:divBdr>
        <w:top w:val="none" w:sz="0" w:space="0" w:color="auto"/>
        <w:left w:val="none" w:sz="0" w:space="0" w:color="auto"/>
        <w:bottom w:val="none" w:sz="0" w:space="0" w:color="auto"/>
        <w:right w:val="none" w:sz="0" w:space="0" w:color="auto"/>
      </w:divBdr>
    </w:div>
    <w:div w:id="1689141381">
      <w:bodyDiv w:val="1"/>
      <w:marLeft w:val="0"/>
      <w:marRight w:val="0"/>
      <w:marTop w:val="0"/>
      <w:marBottom w:val="0"/>
      <w:divBdr>
        <w:top w:val="none" w:sz="0" w:space="0" w:color="auto"/>
        <w:left w:val="none" w:sz="0" w:space="0" w:color="auto"/>
        <w:bottom w:val="none" w:sz="0" w:space="0" w:color="auto"/>
        <w:right w:val="none" w:sz="0" w:space="0" w:color="auto"/>
      </w:divBdr>
    </w:div>
    <w:div w:id="1689940986">
      <w:bodyDiv w:val="1"/>
      <w:marLeft w:val="0"/>
      <w:marRight w:val="0"/>
      <w:marTop w:val="0"/>
      <w:marBottom w:val="0"/>
      <w:divBdr>
        <w:top w:val="none" w:sz="0" w:space="0" w:color="auto"/>
        <w:left w:val="none" w:sz="0" w:space="0" w:color="auto"/>
        <w:bottom w:val="none" w:sz="0" w:space="0" w:color="auto"/>
        <w:right w:val="none" w:sz="0" w:space="0" w:color="auto"/>
      </w:divBdr>
    </w:div>
    <w:div w:id="1693997258">
      <w:bodyDiv w:val="1"/>
      <w:marLeft w:val="0"/>
      <w:marRight w:val="0"/>
      <w:marTop w:val="0"/>
      <w:marBottom w:val="0"/>
      <w:divBdr>
        <w:top w:val="none" w:sz="0" w:space="0" w:color="auto"/>
        <w:left w:val="none" w:sz="0" w:space="0" w:color="auto"/>
        <w:bottom w:val="none" w:sz="0" w:space="0" w:color="auto"/>
        <w:right w:val="none" w:sz="0" w:space="0" w:color="auto"/>
      </w:divBdr>
    </w:div>
    <w:div w:id="1697347480">
      <w:bodyDiv w:val="1"/>
      <w:marLeft w:val="0"/>
      <w:marRight w:val="0"/>
      <w:marTop w:val="0"/>
      <w:marBottom w:val="0"/>
      <w:divBdr>
        <w:top w:val="none" w:sz="0" w:space="0" w:color="auto"/>
        <w:left w:val="none" w:sz="0" w:space="0" w:color="auto"/>
        <w:bottom w:val="none" w:sz="0" w:space="0" w:color="auto"/>
        <w:right w:val="none" w:sz="0" w:space="0" w:color="auto"/>
      </w:divBdr>
    </w:div>
    <w:div w:id="1698309247">
      <w:bodyDiv w:val="1"/>
      <w:marLeft w:val="0"/>
      <w:marRight w:val="0"/>
      <w:marTop w:val="0"/>
      <w:marBottom w:val="0"/>
      <w:divBdr>
        <w:top w:val="none" w:sz="0" w:space="0" w:color="auto"/>
        <w:left w:val="none" w:sz="0" w:space="0" w:color="auto"/>
        <w:bottom w:val="none" w:sz="0" w:space="0" w:color="auto"/>
        <w:right w:val="none" w:sz="0" w:space="0" w:color="auto"/>
      </w:divBdr>
    </w:div>
    <w:div w:id="1704943027">
      <w:bodyDiv w:val="1"/>
      <w:marLeft w:val="0"/>
      <w:marRight w:val="0"/>
      <w:marTop w:val="0"/>
      <w:marBottom w:val="0"/>
      <w:divBdr>
        <w:top w:val="none" w:sz="0" w:space="0" w:color="auto"/>
        <w:left w:val="none" w:sz="0" w:space="0" w:color="auto"/>
        <w:bottom w:val="none" w:sz="0" w:space="0" w:color="auto"/>
        <w:right w:val="none" w:sz="0" w:space="0" w:color="auto"/>
      </w:divBdr>
    </w:div>
    <w:div w:id="1713385118">
      <w:bodyDiv w:val="1"/>
      <w:marLeft w:val="0"/>
      <w:marRight w:val="0"/>
      <w:marTop w:val="0"/>
      <w:marBottom w:val="0"/>
      <w:divBdr>
        <w:top w:val="none" w:sz="0" w:space="0" w:color="auto"/>
        <w:left w:val="none" w:sz="0" w:space="0" w:color="auto"/>
        <w:bottom w:val="none" w:sz="0" w:space="0" w:color="auto"/>
        <w:right w:val="none" w:sz="0" w:space="0" w:color="auto"/>
      </w:divBdr>
    </w:div>
    <w:div w:id="1715541817">
      <w:bodyDiv w:val="1"/>
      <w:marLeft w:val="0"/>
      <w:marRight w:val="0"/>
      <w:marTop w:val="0"/>
      <w:marBottom w:val="0"/>
      <w:divBdr>
        <w:top w:val="none" w:sz="0" w:space="0" w:color="auto"/>
        <w:left w:val="none" w:sz="0" w:space="0" w:color="auto"/>
        <w:bottom w:val="none" w:sz="0" w:space="0" w:color="auto"/>
        <w:right w:val="none" w:sz="0" w:space="0" w:color="auto"/>
      </w:divBdr>
    </w:div>
    <w:div w:id="1715881430">
      <w:bodyDiv w:val="1"/>
      <w:marLeft w:val="0"/>
      <w:marRight w:val="0"/>
      <w:marTop w:val="0"/>
      <w:marBottom w:val="0"/>
      <w:divBdr>
        <w:top w:val="none" w:sz="0" w:space="0" w:color="auto"/>
        <w:left w:val="none" w:sz="0" w:space="0" w:color="auto"/>
        <w:bottom w:val="none" w:sz="0" w:space="0" w:color="auto"/>
        <w:right w:val="none" w:sz="0" w:space="0" w:color="auto"/>
      </w:divBdr>
    </w:div>
    <w:div w:id="1716999782">
      <w:bodyDiv w:val="1"/>
      <w:marLeft w:val="0"/>
      <w:marRight w:val="0"/>
      <w:marTop w:val="0"/>
      <w:marBottom w:val="0"/>
      <w:divBdr>
        <w:top w:val="none" w:sz="0" w:space="0" w:color="auto"/>
        <w:left w:val="none" w:sz="0" w:space="0" w:color="auto"/>
        <w:bottom w:val="none" w:sz="0" w:space="0" w:color="auto"/>
        <w:right w:val="none" w:sz="0" w:space="0" w:color="auto"/>
      </w:divBdr>
    </w:div>
    <w:div w:id="1717311172">
      <w:bodyDiv w:val="1"/>
      <w:marLeft w:val="0"/>
      <w:marRight w:val="0"/>
      <w:marTop w:val="0"/>
      <w:marBottom w:val="0"/>
      <w:divBdr>
        <w:top w:val="none" w:sz="0" w:space="0" w:color="auto"/>
        <w:left w:val="none" w:sz="0" w:space="0" w:color="auto"/>
        <w:bottom w:val="none" w:sz="0" w:space="0" w:color="auto"/>
        <w:right w:val="none" w:sz="0" w:space="0" w:color="auto"/>
      </w:divBdr>
    </w:div>
    <w:div w:id="1717506354">
      <w:bodyDiv w:val="1"/>
      <w:marLeft w:val="0"/>
      <w:marRight w:val="0"/>
      <w:marTop w:val="0"/>
      <w:marBottom w:val="0"/>
      <w:divBdr>
        <w:top w:val="none" w:sz="0" w:space="0" w:color="auto"/>
        <w:left w:val="none" w:sz="0" w:space="0" w:color="auto"/>
        <w:bottom w:val="none" w:sz="0" w:space="0" w:color="auto"/>
        <w:right w:val="none" w:sz="0" w:space="0" w:color="auto"/>
      </w:divBdr>
    </w:div>
    <w:div w:id="1740327206">
      <w:bodyDiv w:val="1"/>
      <w:marLeft w:val="0"/>
      <w:marRight w:val="0"/>
      <w:marTop w:val="0"/>
      <w:marBottom w:val="0"/>
      <w:divBdr>
        <w:top w:val="none" w:sz="0" w:space="0" w:color="auto"/>
        <w:left w:val="none" w:sz="0" w:space="0" w:color="auto"/>
        <w:bottom w:val="none" w:sz="0" w:space="0" w:color="auto"/>
        <w:right w:val="none" w:sz="0" w:space="0" w:color="auto"/>
      </w:divBdr>
    </w:div>
    <w:div w:id="1742370171">
      <w:bodyDiv w:val="1"/>
      <w:marLeft w:val="0"/>
      <w:marRight w:val="0"/>
      <w:marTop w:val="0"/>
      <w:marBottom w:val="0"/>
      <w:divBdr>
        <w:top w:val="none" w:sz="0" w:space="0" w:color="auto"/>
        <w:left w:val="none" w:sz="0" w:space="0" w:color="auto"/>
        <w:bottom w:val="none" w:sz="0" w:space="0" w:color="auto"/>
        <w:right w:val="none" w:sz="0" w:space="0" w:color="auto"/>
      </w:divBdr>
    </w:div>
    <w:div w:id="1746105524">
      <w:bodyDiv w:val="1"/>
      <w:marLeft w:val="0"/>
      <w:marRight w:val="0"/>
      <w:marTop w:val="0"/>
      <w:marBottom w:val="0"/>
      <w:divBdr>
        <w:top w:val="none" w:sz="0" w:space="0" w:color="auto"/>
        <w:left w:val="none" w:sz="0" w:space="0" w:color="auto"/>
        <w:bottom w:val="none" w:sz="0" w:space="0" w:color="auto"/>
        <w:right w:val="none" w:sz="0" w:space="0" w:color="auto"/>
      </w:divBdr>
    </w:div>
    <w:div w:id="1769815185">
      <w:bodyDiv w:val="1"/>
      <w:marLeft w:val="0"/>
      <w:marRight w:val="0"/>
      <w:marTop w:val="0"/>
      <w:marBottom w:val="0"/>
      <w:divBdr>
        <w:top w:val="none" w:sz="0" w:space="0" w:color="auto"/>
        <w:left w:val="none" w:sz="0" w:space="0" w:color="auto"/>
        <w:bottom w:val="none" w:sz="0" w:space="0" w:color="auto"/>
        <w:right w:val="none" w:sz="0" w:space="0" w:color="auto"/>
      </w:divBdr>
    </w:div>
    <w:div w:id="1779715827">
      <w:bodyDiv w:val="1"/>
      <w:marLeft w:val="0"/>
      <w:marRight w:val="0"/>
      <w:marTop w:val="0"/>
      <w:marBottom w:val="0"/>
      <w:divBdr>
        <w:top w:val="none" w:sz="0" w:space="0" w:color="auto"/>
        <w:left w:val="none" w:sz="0" w:space="0" w:color="auto"/>
        <w:bottom w:val="none" w:sz="0" w:space="0" w:color="auto"/>
        <w:right w:val="none" w:sz="0" w:space="0" w:color="auto"/>
      </w:divBdr>
    </w:div>
    <w:div w:id="1806311768">
      <w:bodyDiv w:val="1"/>
      <w:marLeft w:val="0"/>
      <w:marRight w:val="0"/>
      <w:marTop w:val="0"/>
      <w:marBottom w:val="0"/>
      <w:divBdr>
        <w:top w:val="none" w:sz="0" w:space="0" w:color="auto"/>
        <w:left w:val="none" w:sz="0" w:space="0" w:color="auto"/>
        <w:bottom w:val="none" w:sz="0" w:space="0" w:color="auto"/>
        <w:right w:val="none" w:sz="0" w:space="0" w:color="auto"/>
      </w:divBdr>
    </w:div>
    <w:div w:id="1806659055">
      <w:bodyDiv w:val="1"/>
      <w:marLeft w:val="0"/>
      <w:marRight w:val="0"/>
      <w:marTop w:val="0"/>
      <w:marBottom w:val="0"/>
      <w:divBdr>
        <w:top w:val="none" w:sz="0" w:space="0" w:color="auto"/>
        <w:left w:val="none" w:sz="0" w:space="0" w:color="auto"/>
        <w:bottom w:val="none" w:sz="0" w:space="0" w:color="auto"/>
        <w:right w:val="none" w:sz="0" w:space="0" w:color="auto"/>
      </w:divBdr>
    </w:div>
    <w:div w:id="1837064617">
      <w:bodyDiv w:val="1"/>
      <w:marLeft w:val="0"/>
      <w:marRight w:val="0"/>
      <w:marTop w:val="0"/>
      <w:marBottom w:val="0"/>
      <w:divBdr>
        <w:top w:val="none" w:sz="0" w:space="0" w:color="auto"/>
        <w:left w:val="none" w:sz="0" w:space="0" w:color="auto"/>
        <w:bottom w:val="none" w:sz="0" w:space="0" w:color="auto"/>
        <w:right w:val="none" w:sz="0" w:space="0" w:color="auto"/>
      </w:divBdr>
    </w:div>
    <w:div w:id="1840997758">
      <w:bodyDiv w:val="1"/>
      <w:marLeft w:val="0"/>
      <w:marRight w:val="0"/>
      <w:marTop w:val="0"/>
      <w:marBottom w:val="0"/>
      <w:divBdr>
        <w:top w:val="none" w:sz="0" w:space="0" w:color="auto"/>
        <w:left w:val="none" w:sz="0" w:space="0" w:color="auto"/>
        <w:bottom w:val="none" w:sz="0" w:space="0" w:color="auto"/>
        <w:right w:val="none" w:sz="0" w:space="0" w:color="auto"/>
      </w:divBdr>
    </w:div>
    <w:div w:id="1848858648">
      <w:bodyDiv w:val="1"/>
      <w:marLeft w:val="0"/>
      <w:marRight w:val="0"/>
      <w:marTop w:val="0"/>
      <w:marBottom w:val="0"/>
      <w:divBdr>
        <w:top w:val="none" w:sz="0" w:space="0" w:color="auto"/>
        <w:left w:val="none" w:sz="0" w:space="0" w:color="auto"/>
        <w:bottom w:val="none" w:sz="0" w:space="0" w:color="auto"/>
        <w:right w:val="none" w:sz="0" w:space="0" w:color="auto"/>
      </w:divBdr>
    </w:div>
    <w:div w:id="1850170741">
      <w:bodyDiv w:val="1"/>
      <w:marLeft w:val="0"/>
      <w:marRight w:val="0"/>
      <w:marTop w:val="0"/>
      <w:marBottom w:val="0"/>
      <w:divBdr>
        <w:top w:val="none" w:sz="0" w:space="0" w:color="auto"/>
        <w:left w:val="none" w:sz="0" w:space="0" w:color="auto"/>
        <w:bottom w:val="none" w:sz="0" w:space="0" w:color="auto"/>
        <w:right w:val="none" w:sz="0" w:space="0" w:color="auto"/>
      </w:divBdr>
    </w:div>
    <w:div w:id="1859000879">
      <w:bodyDiv w:val="1"/>
      <w:marLeft w:val="0"/>
      <w:marRight w:val="0"/>
      <w:marTop w:val="0"/>
      <w:marBottom w:val="0"/>
      <w:divBdr>
        <w:top w:val="none" w:sz="0" w:space="0" w:color="auto"/>
        <w:left w:val="none" w:sz="0" w:space="0" w:color="auto"/>
        <w:bottom w:val="none" w:sz="0" w:space="0" w:color="auto"/>
        <w:right w:val="none" w:sz="0" w:space="0" w:color="auto"/>
      </w:divBdr>
    </w:div>
    <w:div w:id="1865556805">
      <w:bodyDiv w:val="1"/>
      <w:marLeft w:val="0"/>
      <w:marRight w:val="0"/>
      <w:marTop w:val="0"/>
      <w:marBottom w:val="0"/>
      <w:divBdr>
        <w:top w:val="none" w:sz="0" w:space="0" w:color="auto"/>
        <w:left w:val="none" w:sz="0" w:space="0" w:color="auto"/>
        <w:bottom w:val="none" w:sz="0" w:space="0" w:color="auto"/>
        <w:right w:val="none" w:sz="0" w:space="0" w:color="auto"/>
      </w:divBdr>
    </w:div>
    <w:div w:id="1873612013">
      <w:bodyDiv w:val="1"/>
      <w:marLeft w:val="0"/>
      <w:marRight w:val="0"/>
      <w:marTop w:val="0"/>
      <w:marBottom w:val="0"/>
      <w:divBdr>
        <w:top w:val="none" w:sz="0" w:space="0" w:color="auto"/>
        <w:left w:val="none" w:sz="0" w:space="0" w:color="auto"/>
        <w:bottom w:val="none" w:sz="0" w:space="0" w:color="auto"/>
        <w:right w:val="none" w:sz="0" w:space="0" w:color="auto"/>
      </w:divBdr>
    </w:div>
    <w:div w:id="1876040900">
      <w:bodyDiv w:val="1"/>
      <w:marLeft w:val="0"/>
      <w:marRight w:val="0"/>
      <w:marTop w:val="0"/>
      <w:marBottom w:val="0"/>
      <w:divBdr>
        <w:top w:val="none" w:sz="0" w:space="0" w:color="auto"/>
        <w:left w:val="none" w:sz="0" w:space="0" w:color="auto"/>
        <w:bottom w:val="none" w:sz="0" w:space="0" w:color="auto"/>
        <w:right w:val="none" w:sz="0" w:space="0" w:color="auto"/>
      </w:divBdr>
    </w:div>
    <w:div w:id="1877036969">
      <w:bodyDiv w:val="1"/>
      <w:marLeft w:val="0"/>
      <w:marRight w:val="0"/>
      <w:marTop w:val="0"/>
      <w:marBottom w:val="0"/>
      <w:divBdr>
        <w:top w:val="none" w:sz="0" w:space="0" w:color="auto"/>
        <w:left w:val="none" w:sz="0" w:space="0" w:color="auto"/>
        <w:bottom w:val="none" w:sz="0" w:space="0" w:color="auto"/>
        <w:right w:val="none" w:sz="0" w:space="0" w:color="auto"/>
      </w:divBdr>
    </w:div>
    <w:div w:id="1879468730">
      <w:bodyDiv w:val="1"/>
      <w:marLeft w:val="0"/>
      <w:marRight w:val="0"/>
      <w:marTop w:val="0"/>
      <w:marBottom w:val="0"/>
      <w:divBdr>
        <w:top w:val="none" w:sz="0" w:space="0" w:color="auto"/>
        <w:left w:val="none" w:sz="0" w:space="0" w:color="auto"/>
        <w:bottom w:val="none" w:sz="0" w:space="0" w:color="auto"/>
        <w:right w:val="none" w:sz="0" w:space="0" w:color="auto"/>
      </w:divBdr>
    </w:div>
    <w:div w:id="1885360782">
      <w:bodyDiv w:val="1"/>
      <w:marLeft w:val="0"/>
      <w:marRight w:val="0"/>
      <w:marTop w:val="0"/>
      <w:marBottom w:val="0"/>
      <w:divBdr>
        <w:top w:val="none" w:sz="0" w:space="0" w:color="auto"/>
        <w:left w:val="none" w:sz="0" w:space="0" w:color="auto"/>
        <w:bottom w:val="none" w:sz="0" w:space="0" w:color="auto"/>
        <w:right w:val="none" w:sz="0" w:space="0" w:color="auto"/>
      </w:divBdr>
    </w:div>
    <w:div w:id="1888104516">
      <w:bodyDiv w:val="1"/>
      <w:marLeft w:val="0"/>
      <w:marRight w:val="0"/>
      <w:marTop w:val="0"/>
      <w:marBottom w:val="0"/>
      <w:divBdr>
        <w:top w:val="none" w:sz="0" w:space="0" w:color="auto"/>
        <w:left w:val="none" w:sz="0" w:space="0" w:color="auto"/>
        <w:bottom w:val="none" w:sz="0" w:space="0" w:color="auto"/>
        <w:right w:val="none" w:sz="0" w:space="0" w:color="auto"/>
      </w:divBdr>
    </w:div>
    <w:div w:id="1888369506">
      <w:bodyDiv w:val="1"/>
      <w:marLeft w:val="0"/>
      <w:marRight w:val="0"/>
      <w:marTop w:val="0"/>
      <w:marBottom w:val="0"/>
      <w:divBdr>
        <w:top w:val="none" w:sz="0" w:space="0" w:color="auto"/>
        <w:left w:val="none" w:sz="0" w:space="0" w:color="auto"/>
        <w:bottom w:val="none" w:sz="0" w:space="0" w:color="auto"/>
        <w:right w:val="none" w:sz="0" w:space="0" w:color="auto"/>
      </w:divBdr>
    </w:div>
    <w:div w:id="1894583376">
      <w:bodyDiv w:val="1"/>
      <w:marLeft w:val="0"/>
      <w:marRight w:val="0"/>
      <w:marTop w:val="0"/>
      <w:marBottom w:val="0"/>
      <w:divBdr>
        <w:top w:val="none" w:sz="0" w:space="0" w:color="auto"/>
        <w:left w:val="none" w:sz="0" w:space="0" w:color="auto"/>
        <w:bottom w:val="none" w:sz="0" w:space="0" w:color="auto"/>
        <w:right w:val="none" w:sz="0" w:space="0" w:color="auto"/>
      </w:divBdr>
    </w:div>
    <w:div w:id="1900361987">
      <w:bodyDiv w:val="1"/>
      <w:marLeft w:val="0"/>
      <w:marRight w:val="0"/>
      <w:marTop w:val="0"/>
      <w:marBottom w:val="0"/>
      <w:divBdr>
        <w:top w:val="none" w:sz="0" w:space="0" w:color="auto"/>
        <w:left w:val="none" w:sz="0" w:space="0" w:color="auto"/>
        <w:bottom w:val="none" w:sz="0" w:space="0" w:color="auto"/>
        <w:right w:val="none" w:sz="0" w:space="0" w:color="auto"/>
      </w:divBdr>
    </w:div>
    <w:div w:id="1906449299">
      <w:bodyDiv w:val="1"/>
      <w:marLeft w:val="0"/>
      <w:marRight w:val="0"/>
      <w:marTop w:val="0"/>
      <w:marBottom w:val="0"/>
      <w:divBdr>
        <w:top w:val="none" w:sz="0" w:space="0" w:color="auto"/>
        <w:left w:val="none" w:sz="0" w:space="0" w:color="auto"/>
        <w:bottom w:val="none" w:sz="0" w:space="0" w:color="auto"/>
        <w:right w:val="none" w:sz="0" w:space="0" w:color="auto"/>
      </w:divBdr>
    </w:div>
    <w:div w:id="1908301628">
      <w:bodyDiv w:val="1"/>
      <w:marLeft w:val="0"/>
      <w:marRight w:val="0"/>
      <w:marTop w:val="0"/>
      <w:marBottom w:val="0"/>
      <w:divBdr>
        <w:top w:val="none" w:sz="0" w:space="0" w:color="auto"/>
        <w:left w:val="none" w:sz="0" w:space="0" w:color="auto"/>
        <w:bottom w:val="none" w:sz="0" w:space="0" w:color="auto"/>
        <w:right w:val="none" w:sz="0" w:space="0" w:color="auto"/>
      </w:divBdr>
    </w:div>
    <w:div w:id="1911622906">
      <w:bodyDiv w:val="1"/>
      <w:marLeft w:val="0"/>
      <w:marRight w:val="0"/>
      <w:marTop w:val="0"/>
      <w:marBottom w:val="0"/>
      <w:divBdr>
        <w:top w:val="none" w:sz="0" w:space="0" w:color="auto"/>
        <w:left w:val="none" w:sz="0" w:space="0" w:color="auto"/>
        <w:bottom w:val="none" w:sz="0" w:space="0" w:color="auto"/>
        <w:right w:val="none" w:sz="0" w:space="0" w:color="auto"/>
      </w:divBdr>
    </w:div>
    <w:div w:id="1920871712">
      <w:bodyDiv w:val="1"/>
      <w:marLeft w:val="0"/>
      <w:marRight w:val="0"/>
      <w:marTop w:val="0"/>
      <w:marBottom w:val="0"/>
      <w:divBdr>
        <w:top w:val="none" w:sz="0" w:space="0" w:color="auto"/>
        <w:left w:val="none" w:sz="0" w:space="0" w:color="auto"/>
        <w:bottom w:val="none" w:sz="0" w:space="0" w:color="auto"/>
        <w:right w:val="none" w:sz="0" w:space="0" w:color="auto"/>
      </w:divBdr>
    </w:div>
    <w:div w:id="1924489593">
      <w:bodyDiv w:val="1"/>
      <w:marLeft w:val="0"/>
      <w:marRight w:val="0"/>
      <w:marTop w:val="0"/>
      <w:marBottom w:val="0"/>
      <w:divBdr>
        <w:top w:val="none" w:sz="0" w:space="0" w:color="auto"/>
        <w:left w:val="none" w:sz="0" w:space="0" w:color="auto"/>
        <w:bottom w:val="none" w:sz="0" w:space="0" w:color="auto"/>
        <w:right w:val="none" w:sz="0" w:space="0" w:color="auto"/>
      </w:divBdr>
    </w:div>
    <w:div w:id="1931430048">
      <w:bodyDiv w:val="1"/>
      <w:marLeft w:val="0"/>
      <w:marRight w:val="0"/>
      <w:marTop w:val="0"/>
      <w:marBottom w:val="0"/>
      <w:divBdr>
        <w:top w:val="none" w:sz="0" w:space="0" w:color="auto"/>
        <w:left w:val="none" w:sz="0" w:space="0" w:color="auto"/>
        <w:bottom w:val="none" w:sz="0" w:space="0" w:color="auto"/>
        <w:right w:val="none" w:sz="0" w:space="0" w:color="auto"/>
      </w:divBdr>
    </w:div>
    <w:div w:id="1934437838">
      <w:bodyDiv w:val="1"/>
      <w:marLeft w:val="0"/>
      <w:marRight w:val="0"/>
      <w:marTop w:val="0"/>
      <w:marBottom w:val="0"/>
      <w:divBdr>
        <w:top w:val="none" w:sz="0" w:space="0" w:color="auto"/>
        <w:left w:val="none" w:sz="0" w:space="0" w:color="auto"/>
        <w:bottom w:val="none" w:sz="0" w:space="0" w:color="auto"/>
        <w:right w:val="none" w:sz="0" w:space="0" w:color="auto"/>
      </w:divBdr>
    </w:div>
    <w:div w:id="1935673811">
      <w:bodyDiv w:val="1"/>
      <w:marLeft w:val="0"/>
      <w:marRight w:val="0"/>
      <w:marTop w:val="0"/>
      <w:marBottom w:val="0"/>
      <w:divBdr>
        <w:top w:val="none" w:sz="0" w:space="0" w:color="auto"/>
        <w:left w:val="none" w:sz="0" w:space="0" w:color="auto"/>
        <w:bottom w:val="none" w:sz="0" w:space="0" w:color="auto"/>
        <w:right w:val="none" w:sz="0" w:space="0" w:color="auto"/>
      </w:divBdr>
    </w:div>
    <w:div w:id="1947538782">
      <w:bodyDiv w:val="1"/>
      <w:marLeft w:val="0"/>
      <w:marRight w:val="0"/>
      <w:marTop w:val="0"/>
      <w:marBottom w:val="0"/>
      <w:divBdr>
        <w:top w:val="none" w:sz="0" w:space="0" w:color="auto"/>
        <w:left w:val="none" w:sz="0" w:space="0" w:color="auto"/>
        <w:bottom w:val="none" w:sz="0" w:space="0" w:color="auto"/>
        <w:right w:val="none" w:sz="0" w:space="0" w:color="auto"/>
      </w:divBdr>
    </w:div>
    <w:div w:id="1961767158">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1972318259">
      <w:bodyDiv w:val="1"/>
      <w:marLeft w:val="0"/>
      <w:marRight w:val="0"/>
      <w:marTop w:val="0"/>
      <w:marBottom w:val="0"/>
      <w:divBdr>
        <w:top w:val="none" w:sz="0" w:space="0" w:color="auto"/>
        <w:left w:val="none" w:sz="0" w:space="0" w:color="auto"/>
        <w:bottom w:val="none" w:sz="0" w:space="0" w:color="auto"/>
        <w:right w:val="none" w:sz="0" w:space="0" w:color="auto"/>
      </w:divBdr>
    </w:div>
    <w:div w:id="1974366720">
      <w:bodyDiv w:val="1"/>
      <w:marLeft w:val="0"/>
      <w:marRight w:val="0"/>
      <w:marTop w:val="0"/>
      <w:marBottom w:val="0"/>
      <w:divBdr>
        <w:top w:val="none" w:sz="0" w:space="0" w:color="auto"/>
        <w:left w:val="none" w:sz="0" w:space="0" w:color="auto"/>
        <w:bottom w:val="none" w:sz="0" w:space="0" w:color="auto"/>
        <w:right w:val="none" w:sz="0" w:space="0" w:color="auto"/>
      </w:divBdr>
    </w:div>
    <w:div w:id="1978760146">
      <w:bodyDiv w:val="1"/>
      <w:marLeft w:val="0"/>
      <w:marRight w:val="0"/>
      <w:marTop w:val="0"/>
      <w:marBottom w:val="0"/>
      <w:divBdr>
        <w:top w:val="none" w:sz="0" w:space="0" w:color="auto"/>
        <w:left w:val="none" w:sz="0" w:space="0" w:color="auto"/>
        <w:bottom w:val="none" w:sz="0" w:space="0" w:color="auto"/>
        <w:right w:val="none" w:sz="0" w:space="0" w:color="auto"/>
      </w:divBdr>
    </w:div>
    <w:div w:id="1992322596">
      <w:bodyDiv w:val="1"/>
      <w:marLeft w:val="0"/>
      <w:marRight w:val="0"/>
      <w:marTop w:val="0"/>
      <w:marBottom w:val="0"/>
      <w:divBdr>
        <w:top w:val="none" w:sz="0" w:space="0" w:color="auto"/>
        <w:left w:val="none" w:sz="0" w:space="0" w:color="auto"/>
        <w:bottom w:val="none" w:sz="0" w:space="0" w:color="auto"/>
        <w:right w:val="none" w:sz="0" w:space="0" w:color="auto"/>
      </w:divBdr>
    </w:div>
    <w:div w:id="1996956505">
      <w:bodyDiv w:val="1"/>
      <w:marLeft w:val="0"/>
      <w:marRight w:val="0"/>
      <w:marTop w:val="0"/>
      <w:marBottom w:val="0"/>
      <w:divBdr>
        <w:top w:val="none" w:sz="0" w:space="0" w:color="auto"/>
        <w:left w:val="none" w:sz="0" w:space="0" w:color="auto"/>
        <w:bottom w:val="none" w:sz="0" w:space="0" w:color="auto"/>
        <w:right w:val="none" w:sz="0" w:space="0" w:color="auto"/>
      </w:divBdr>
    </w:div>
    <w:div w:id="2002346687">
      <w:bodyDiv w:val="1"/>
      <w:marLeft w:val="0"/>
      <w:marRight w:val="0"/>
      <w:marTop w:val="0"/>
      <w:marBottom w:val="0"/>
      <w:divBdr>
        <w:top w:val="none" w:sz="0" w:space="0" w:color="auto"/>
        <w:left w:val="none" w:sz="0" w:space="0" w:color="auto"/>
        <w:bottom w:val="none" w:sz="0" w:space="0" w:color="auto"/>
        <w:right w:val="none" w:sz="0" w:space="0" w:color="auto"/>
      </w:divBdr>
    </w:div>
    <w:div w:id="2011173423">
      <w:bodyDiv w:val="1"/>
      <w:marLeft w:val="0"/>
      <w:marRight w:val="0"/>
      <w:marTop w:val="0"/>
      <w:marBottom w:val="0"/>
      <w:divBdr>
        <w:top w:val="none" w:sz="0" w:space="0" w:color="auto"/>
        <w:left w:val="none" w:sz="0" w:space="0" w:color="auto"/>
        <w:bottom w:val="none" w:sz="0" w:space="0" w:color="auto"/>
        <w:right w:val="none" w:sz="0" w:space="0" w:color="auto"/>
      </w:divBdr>
    </w:div>
    <w:div w:id="2014449834">
      <w:bodyDiv w:val="1"/>
      <w:marLeft w:val="0"/>
      <w:marRight w:val="0"/>
      <w:marTop w:val="0"/>
      <w:marBottom w:val="0"/>
      <w:divBdr>
        <w:top w:val="none" w:sz="0" w:space="0" w:color="auto"/>
        <w:left w:val="none" w:sz="0" w:space="0" w:color="auto"/>
        <w:bottom w:val="none" w:sz="0" w:space="0" w:color="auto"/>
        <w:right w:val="none" w:sz="0" w:space="0" w:color="auto"/>
      </w:divBdr>
    </w:div>
    <w:div w:id="2031443800">
      <w:bodyDiv w:val="1"/>
      <w:marLeft w:val="0"/>
      <w:marRight w:val="0"/>
      <w:marTop w:val="0"/>
      <w:marBottom w:val="0"/>
      <w:divBdr>
        <w:top w:val="none" w:sz="0" w:space="0" w:color="auto"/>
        <w:left w:val="none" w:sz="0" w:space="0" w:color="auto"/>
        <w:bottom w:val="none" w:sz="0" w:space="0" w:color="auto"/>
        <w:right w:val="none" w:sz="0" w:space="0" w:color="auto"/>
      </w:divBdr>
    </w:div>
    <w:div w:id="2046710341">
      <w:bodyDiv w:val="1"/>
      <w:marLeft w:val="0"/>
      <w:marRight w:val="0"/>
      <w:marTop w:val="0"/>
      <w:marBottom w:val="0"/>
      <w:divBdr>
        <w:top w:val="none" w:sz="0" w:space="0" w:color="auto"/>
        <w:left w:val="none" w:sz="0" w:space="0" w:color="auto"/>
        <w:bottom w:val="none" w:sz="0" w:space="0" w:color="auto"/>
        <w:right w:val="none" w:sz="0" w:space="0" w:color="auto"/>
      </w:divBdr>
    </w:div>
    <w:div w:id="2052463226">
      <w:bodyDiv w:val="1"/>
      <w:marLeft w:val="0"/>
      <w:marRight w:val="0"/>
      <w:marTop w:val="0"/>
      <w:marBottom w:val="0"/>
      <w:divBdr>
        <w:top w:val="none" w:sz="0" w:space="0" w:color="auto"/>
        <w:left w:val="none" w:sz="0" w:space="0" w:color="auto"/>
        <w:bottom w:val="none" w:sz="0" w:space="0" w:color="auto"/>
        <w:right w:val="none" w:sz="0" w:space="0" w:color="auto"/>
      </w:divBdr>
    </w:div>
    <w:div w:id="2060012675">
      <w:bodyDiv w:val="1"/>
      <w:marLeft w:val="0"/>
      <w:marRight w:val="0"/>
      <w:marTop w:val="0"/>
      <w:marBottom w:val="0"/>
      <w:divBdr>
        <w:top w:val="none" w:sz="0" w:space="0" w:color="auto"/>
        <w:left w:val="none" w:sz="0" w:space="0" w:color="auto"/>
        <w:bottom w:val="none" w:sz="0" w:space="0" w:color="auto"/>
        <w:right w:val="none" w:sz="0" w:space="0" w:color="auto"/>
      </w:divBdr>
    </w:div>
    <w:div w:id="2068870310">
      <w:bodyDiv w:val="1"/>
      <w:marLeft w:val="0"/>
      <w:marRight w:val="0"/>
      <w:marTop w:val="0"/>
      <w:marBottom w:val="0"/>
      <w:divBdr>
        <w:top w:val="none" w:sz="0" w:space="0" w:color="auto"/>
        <w:left w:val="none" w:sz="0" w:space="0" w:color="auto"/>
        <w:bottom w:val="none" w:sz="0" w:space="0" w:color="auto"/>
        <w:right w:val="none" w:sz="0" w:space="0" w:color="auto"/>
      </w:divBdr>
    </w:div>
    <w:div w:id="2071994436">
      <w:bodyDiv w:val="1"/>
      <w:marLeft w:val="0"/>
      <w:marRight w:val="0"/>
      <w:marTop w:val="0"/>
      <w:marBottom w:val="0"/>
      <w:divBdr>
        <w:top w:val="none" w:sz="0" w:space="0" w:color="auto"/>
        <w:left w:val="none" w:sz="0" w:space="0" w:color="auto"/>
        <w:bottom w:val="none" w:sz="0" w:space="0" w:color="auto"/>
        <w:right w:val="none" w:sz="0" w:space="0" w:color="auto"/>
      </w:divBdr>
    </w:div>
    <w:div w:id="2075932447">
      <w:bodyDiv w:val="1"/>
      <w:marLeft w:val="0"/>
      <w:marRight w:val="0"/>
      <w:marTop w:val="0"/>
      <w:marBottom w:val="0"/>
      <w:divBdr>
        <w:top w:val="none" w:sz="0" w:space="0" w:color="auto"/>
        <w:left w:val="none" w:sz="0" w:space="0" w:color="auto"/>
        <w:bottom w:val="none" w:sz="0" w:space="0" w:color="auto"/>
        <w:right w:val="none" w:sz="0" w:space="0" w:color="auto"/>
      </w:divBdr>
    </w:div>
    <w:div w:id="2076005894">
      <w:bodyDiv w:val="1"/>
      <w:marLeft w:val="0"/>
      <w:marRight w:val="0"/>
      <w:marTop w:val="0"/>
      <w:marBottom w:val="0"/>
      <w:divBdr>
        <w:top w:val="none" w:sz="0" w:space="0" w:color="auto"/>
        <w:left w:val="none" w:sz="0" w:space="0" w:color="auto"/>
        <w:bottom w:val="none" w:sz="0" w:space="0" w:color="auto"/>
        <w:right w:val="none" w:sz="0" w:space="0" w:color="auto"/>
      </w:divBdr>
    </w:div>
    <w:div w:id="2078090994">
      <w:bodyDiv w:val="1"/>
      <w:marLeft w:val="0"/>
      <w:marRight w:val="0"/>
      <w:marTop w:val="0"/>
      <w:marBottom w:val="0"/>
      <w:divBdr>
        <w:top w:val="none" w:sz="0" w:space="0" w:color="auto"/>
        <w:left w:val="none" w:sz="0" w:space="0" w:color="auto"/>
        <w:bottom w:val="none" w:sz="0" w:space="0" w:color="auto"/>
        <w:right w:val="none" w:sz="0" w:space="0" w:color="auto"/>
      </w:divBdr>
    </w:div>
    <w:div w:id="2097238083">
      <w:bodyDiv w:val="1"/>
      <w:marLeft w:val="0"/>
      <w:marRight w:val="0"/>
      <w:marTop w:val="0"/>
      <w:marBottom w:val="0"/>
      <w:divBdr>
        <w:top w:val="none" w:sz="0" w:space="0" w:color="auto"/>
        <w:left w:val="none" w:sz="0" w:space="0" w:color="auto"/>
        <w:bottom w:val="none" w:sz="0" w:space="0" w:color="auto"/>
        <w:right w:val="none" w:sz="0" w:space="0" w:color="auto"/>
      </w:divBdr>
    </w:div>
    <w:div w:id="2100563739">
      <w:bodyDiv w:val="1"/>
      <w:marLeft w:val="0"/>
      <w:marRight w:val="0"/>
      <w:marTop w:val="0"/>
      <w:marBottom w:val="0"/>
      <w:divBdr>
        <w:top w:val="none" w:sz="0" w:space="0" w:color="auto"/>
        <w:left w:val="none" w:sz="0" w:space="0" w:color="auto"/>
        <w:bottom w:val="none" w:sz="0" w:space="0" w:color="auto"/>
        <w:right w:val="none" w:sz="0" w:space="0" w:color="auto"/>
      </w:divBdr>
    </w:div>
    <w:div w:id="2109082234">
      <w:bodyDiv w:val="1"/>
      <w:marLeft w:val="0"/>
      <w:marRight w:val="0"/>
      <w:marTop w:val="0"/>
      <w:marBottom w:val="0"/>
      <w:divBdr>
        <w:top w:val="none" w:sz="0" w:space="0" w:color="auto"/>
        <w:left w:val="none" w:sz="0" w:space="0" w:color="auto"/>
        <w:bottom w:val="none" w:sz="0" w:space="0" w:color="auto"/>
        <w:right w:val="none" w:sz="0" w:space="0" w:color="auto"/>
      </w:divBdr>
    </w:div>
    <w:div w:id="212129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iselnik.nipez.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URAD\NS1\ODBORY\Odbor47\Odd4703\03_Projekty\2_Centr&#225;ln&#237;%20n&#225;kup%20MF_syst&#233;m\2_1_Z&#225;kladn&#237;%20komoditn&#237;%20anal&#253;za\1_Data%20a%20podklady\Komoditni-analyza_2013_v6_MART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RAD\NS1\ODBORY\Odbor47\Odd4703\03_Projekty\2_Centr&#225;ln&#237;%20n&#225;kup%20MF_syst&#233;m\2_1_Z&#225;kladn&#237;%20komoditn&#237;%20anal&#253;za\1_Data%20a%20podklady\Komoditni-analyza_2013_v4_MART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107382550335569"/>
          <c:y val="6.8376068376068383E-2"/>
          <c:w val="0.67785234899328861"/>
          <c:h val="0.86324786324786329"/>
        </c:manualLayout>
      </c:layout>
      <c:pieChart>
        <c:varyColors val="1"/>
        <c:ser>
          <c:idx val="0"/>
          <c:order val="0"/>
          <c:spPr>
            <a:ln w="12700">
              <a:solidFill>
                <a:schemeClr val="bg1"/>
              </a:solidFill>
            </a:ln>
          </c:spPr>
          <c:dPt>
            <c:idx val="0"/>
            <c:bubble3D val="0"/>
            <c:spPr>
              <a:solidFill>
                <a:schemeClr val="accent2"/>
              </a:solidFill>
              <a:ln w="12700">
                <a:solidFill>
                  <a:schemeClr val="bg1"/>
                </a:solidFill>
              </a:ln>
            </c:spPr>
          </c:dPt>
          <c:dPt>
            <c:idx val="1"/>
            <c:bubble3D val="0"/>
            <c:spPr>
              <a:solidFill>
                <a:schemeClr val="accent2">
                  <a:lumMod val="40000"/>
                  <a:lumOff val="60000"/>
                </a:schemeClr>
              </a:solidFill>
              <a:ln w="12700">
                <a:solidFill>
                  <a:schemeClr val="bg1"/>
                </a:solidFill>
              </a:ln>
            </c:spPr>
          </c:dPt>
          <c:dPt>
            <c:idx val="2"/>
            <c:bubble3D val="0"/>
            <c:spPr>
              <a:solidFill>
                <a:schemeClr val="bg1">
                  <a:lumMod val="65000"/>
                </a:schemeClr>
              </a:solidFill>
              <a:ln w="12700">
                <a:solidFill>
                  <a:schemeClr val="bg1"/>
                </a:solidFill>
              </a:ln>
            </c:spPr>
          </c:dPt>
          <c:dPt>
            <c:idx val="3"/>
            <c:bubble3D val="0"/>
            <c:spPr>
              <a:solidFill>
                <a:schemeClr val="bg1">
                  <a:lumMod val="75000"/>
                </a:schemeClr>
              </a:solidFill>
              <a:ln w="12700">
                <a:solidFill>
                  <a:schemeClr val="bg1"/>
                </a:solidFill>
              </a:ln>
            </c:spPr>
          </c:dPt>
          <c:dPt>
            <c:idx val="4"/>
            <c:bubble3D val="0"/>
            <c:spPr>
              <a:solidFill>
                <a:schemeClr val="bg1">
                  <a:lumMod val="85000"/>
                </a:schemeClr>
              </a:solidFill>
              <a:ln w="12700">
                <a:solidFill>
                  <a:schemeClr val="bg1"/>
                </a:solidFill>
              </a:ln>
            </c:spPr>
          </c:dPt>
          <c:cat>
            <c:strRef>
              <c:f>'Kategorie NEW'!$H$2:$H$6</c:f>
              <c:strCache>
                <c:ptCount val="5"/>
                <c:pt idx="0">
                  <c:v>Komodity pro centrální nákup - varianta 1</c:v>
                </c:pt>
                <c:pt idx="1">
                  <c:v>Komodity pro centrální nákup - další komodity ve variantě 2</c:v>
                </c:pt>
                <c:pt idx="2">
                  <c:v>Stavby</c:v>
                </c:pt>
                <c:pt idx="3">
                  <c:v>Dodávky informačních systémů</c:v>
                </c:pt>
                <c:pt idx="4">
                  <c:v>Ostatní komodity</c:v>
                </c:pt>
              </c:strCache>
            </c:strRef>
          </c:cat>
          <c:val>
            <c:numRef>
              <c:f>'Kategorie NEW'!$I$2:$I$6</c:f>
              <c:numCache>
                <c:formatCode>#,##0,," mil. Kč";\-#,##0,," mil. Kč"</c:formatCode>
                <c:ptCount val="5"/>
                <c:pt idx="0">
                  <c:v>4101584057.8300009</c:v>
                </c:pt>
                <c:pt idx="1">
                  <c:v>1853711850.7500119</c:v>
                </c:pt>
                <c:pt idx="2">
                  <c:v>5739713330.0600033</c:v>
                </c:pt>
                <c:pt idx="3">
                  <c:v>2079060523.4400005</c:v>
                </c:pt>
                <c:pt idx="4">
                  <c:v>6903776472.3300066</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7454814840117334E-2"/>
          <c:y val="0"/>
          <c:w val="0.94508976034831804"/>
          <c:h val="1"/>
        </c:manualLayout>
      </c:layout>
      <c:pieChart>
        <c:varyColors val="1"/>
        <c:ser>
          <c:idx val="0"/>
          <c:order val="0"/>
          <c:spPr>
            <a:ln w="12700">
              <a:solidFill>
                <a:schemeClr val="bg1"/>
              </a:solidFill>
            </a:ln>
          </c:spPr>
          <c:dPt>
            <c:idx val="0"/>
            <c:bubble3D val="0"/>
          </c:dPt>
          <c:dPt>
            <c:idx val="6"/>
            <c:bubble3D val="0"/>
          </c:dPt>
          <c:dPt>
            <c:idx val="7"/>
            <c:bubble3D val="0"/>
          </c:dPt>
          <c:dPt>
            <c:idx val="8"/>
            <c:bubble3D val="0"/>
          </c:dPt>
          <c:cat>
            <c:strRef>
              <c:f>'Kategorie NEW'!$C$34:$C$40</c:f>
              <c:strCache>
                <c:ptCount val="7"/>
                <c:pt idx="0">
                  <c:v>ICT komodity</c:v>
                </c:pt>
                <c:pt idx="1">
                  <c:v>Energie a správa budov</c:v>
                </c:pt>
                <c:pt idx="2">
                  <c:v>Právní, poradenské a marketingové služby</c:v>
                </c:pt>
                <c:pt idx="3">
                  <c:v>Doprava a ubytování</c:v>
                </c:pt>
                <c:pt idx="4">
                  <c:v>Vozový park a pohonné hmoty</c:v>
                </c:pt>
                <c:pt idx="5">
                  <c:v>Kancelářské potřeby, kancelářská technika</c:v>
                </c:pt>
                <c:pt idx="6">
                  <c:v>Vzdělávání a školení</c:v>
                </c:pt>
              </c:strCache>
            </c:strRef>
          </c:cat>
          <c:val>
            <c:numRef>
              <c:f>'Kategorie NEW'!$D$34:$D$40</c:f>
              <c:numCache>
                <c:formatCode>#,##0,," mil. Kč";\-#,##0,," mil. Kč"</c:formatCode>
                <c:ptCount val="7"/>
                <c:pt idx="0">
                  <c:v>2613571059.3800006</c:v>
                </c:pt>
                <c:pt idx="1">
                  <c:v>2022079876.7200015</c:v>
                </c:pt>
                <c:pt idx="2">
                  <c:v>1769554638.690012</c:v>
                </c:pt>
                <c:pt idx="3">
                  <c:v>646962885.95999992</c:v>
                </c:pt>
                <c:pt idx="4">
                  <c:v>451771728.8099997</c:v>
                </c:pt>
                <c:pt idx="5">
                  <c:v>446259030.39999998</c:v>
                </c:pt>
                <c:pt idx="6">
                  <c:v>84157212.059999883</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noFill/>
    <a:ln>
      <a:noFill/>
    </a:ln>
  </c:sp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50637AE4F4432FBAB7E4236CCDCE18"/>
        <w:category>
          <w:name w:val="General"/>
          <w:gallery w:val="placeholder"/>
        </w:category>
        <w:types>
          <w:type w:val="bbPlcHdr"/>
        </w:types>
        <w:behaviors>
          <w:behavior w:val="content"/>
        </w:behaviors>
        <w:guid w:val="{1E6377ED-3D2C-4C11-A4A7-0E943B0CCB2E}"/>
      </w:docPartPr>
      <w:docPartBody>
        <w:p w:rsidR="00705808" w:rsidRDefault="007D2650">
          <w:r w:rsidRPr="00594389">
            <w:rPr>
              <w:rStyle w:val="Zstupn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00002FF" w:usb1="4000A47B"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650"/>
    <w:rsid w:val="00060DE3"/>
    <w:rsid w:val="000F4BE7"/>
    <w:rsid w:val="001371C5"/>
    <w:rsid w:val="00270C9A"/>
    <w:rsid w:val="002E29E2"/>
    <w:rsid w:val="00476BE0"/>
    <w:rsid w:val="005222DA"/>
    <w:rsid w:val="00705808"/>
    <w:rsid w:val="007D2650"/>
    <w:rsid w:val="008246D8"/>
    <w:rsid w:val="00D248D0"/>
    <w:rsid w:val="00E22F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D265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D26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Paleta 4703 v2">
      <a:dk1>
        <a:srgbClr val="0C0C0C"/>
      </a:dk1>
      <a:lt1>
        <a:sysClr val="window" lastClr="FFFFFF"/>
      </a:lt1>
      <a:dk2>
        <a:srgbClr val="595959"/>
      </a:dk2>
      <a:lt2>
        <a:srgbClr val="FFFFFF"/>
      </a:lt2>
      <a:accent1>
        <a:srgbClr val="093D93"/>
      </a:accent1>
      <a:accent2>
        <a:srgbClr val="2DB9FF"/>
      </a:accent2>
      <a:accent3>
        <a:srgbClr val="FFF13F"/>
      </a:accent3>
      <a:accent4>
        <a:srgbClr val="FE8F3C"/>
      </a:accent4>
      <a:accent5>
        <a:srgbClr val="66A22A"/>
      </a:accent5>
      <a:accent6>
        <a:srgbClr val="C00000"/>
      </a:accent6>
      <a:hlink>
        <a:srgbClr val="009DEA"/>
      </a:hlink>
      <a:folHlink>
        <a:srgbClr val="A5A5A5"/>
      </a:folHlink>
    </a:clrScheme>
    <a:fontScheme name="Motiv 4703">
      <a:majorFont>
        <a:latin typeface="Segoe UI Semibold"/>
        <a:ea typeface=""/>
        <a:cs typeface=""/>
      </a:majorFont>
      <a:minorFont>
        <a:latin typeface="Cambria"/>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4BEF1-F796-49BC-8D3E-0022E5B0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2655</Words>
  <Characters>15669</Characters>
  <Application>Microsoft Office Word</Application>
  <DocSecurity>0</DocSecurity>
  <Lines>130</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Analýza skutečně realizovaných provozních výdajů na úrovni státní správy</vt:lpstr>
      <vt:lpstr>Analýza skutečně realizovaných provozních výdajů na úrovni státní správy</vt:lpstr>
    </vt:vector>
  </TitlesOfParts>
  <Company>Ministerstvo financí</Company>
  <LinksUpToDate>false</LinksUpToDate>
  <CharactersWithSpaces>18288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Analýza provozních výdajů na úrovni státní správy</dc:title>
  <dc:creator>Janíčková Barbora Ing.</dc:creator>
  <cp:lastModifiedBy>Janíčková Barbora Ing.</cp:lastModifiedBy>
  <cp:revision>12</cp:revision>
  <cp:lastPrinted>2015-03-31T14:00:00Z</cp:lastPrinted>
  <dcterms:created xsi:type="dcterms:W3CDTF">2015-02-12T15:24:00Z</dcterms:created>
  <dcterms:modified xsi:type="dcterms:W3CDTF">2015-03-31T14:00:00Z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 Počet faktur 2013 bez MO">
    <vt:lpwstr>62 856</vt:lpwstr>
  </property>
</Properties>
</file>